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0" w:right="0"/>
        <w:jc w:val="center"/>
        <w:rPr>
          <w:rFonts w:ascii="Times New Roman" w:hAnsi="Times New Roman"/>
          <w:color w:val="00000A"/>
          <w:sz w:val="28"/>
          <w:szCs w:val="28"/>
          <w:lang w:val="ru-RU" w:eastAsia="en-US"/>
        </w:rPr>
      </w:pPr>
      <w:r>
        <w:rPr>
          <w:color w:val="00000A"/>
          <w:sz w:val="28"/>
          <w:szCs w:val="28"/>
          <w:lang w:val="ru-RU" w:eastAsia="en-US"/>
        </w:rPr>
      </w:r>
    </w:p>
    <w:p>
      <w:pPr>
        <w:pStyle w:val="Normal"/>
        <w:tabs>
          <w:tab w:val="clear" w:pos="708"/>
          <w:tab w:val="left" w:pos="1276" w:leader="none"/>
        </w:tabs>
        <w:spacing w:lineRule="auto" w:line="240" w:before="0" w:after="0"/>
        <w:ind w:hanging="0" w:left="0" w:right="0"/>
        <w:jc w:val="center"/>
        <w:rPr>
          <w:rFonts w:ascii="Times New Roman" w:hAnsi="Times New Roman"/>
        </w:rPr>
      </w:pPr>
      <w:r>
        <w:rPr>
          <w:rFonts w:cs="Book Antiqua"/>
          <w:b/>
          <w:bCs/>
          <w:color w:val="00000A"/>
          <w:sz w:val="28"/>
          <w:szCs w:val="28"/>
          <w:lang w:val="ru-RU" w:eastAsia="en-US"/>
        </w:rPr>
        <w:t>МИНИСТЕРСТВО НА ЗДРАВЕОПАЗВАНЕТО</w:t>
      </w:r>
    </w:p>
    <w:p>
      <w:pPr>
        <w:pStyle w:val="Normal"/>
        <w:tabs>
          <w:tab w:val="clear" w:pos="708"/>
          <w:tab w:val="left" w:pos="1276" w:leader="none"/>
        </w:tabs>
        <w:spacing w:lineRule="auto" w:line="240" w:before="0" w:after="0"/>
        <w:ind w:hanging="0" w:left="0" w:right="0"/>
        <w:jc w:val="center"/>
        <w:rPr>
          <w:rFonts w:ascii="Times New Roman" w:hAnsi="Times New Roman" w:cs="Book Antiqua"/>
          <w:b/>
          <w:bCs/>
          <w:color w:val="00000A"/>
          <w:sz w:val="28"/>
          <w:szCs w:val="28"/>
          <w:lang w:val="ru-RU" w:eastAsia="en-US"/>
        </w:rPr>
      </w:pPr>
      <w:r>
        <w:rPr>
          <w:rFonts w:cs="Book Antiqua"/>
          <w:b/>
          <w:bCs/>
          <w:color w:val="00000A"/>
          <w:sz w:val="28"/>
          <w:szCs w:val="28"/>
          <w:lang w:val="ru-RU" w:eastAsia="en-US"/>
        </w:rPr>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 xml:space="preserve">СПЕЦИАЛИЗИРАНА БОЛНИЦА ЗА ПРОДЪЛЖИТЕЛНО ЛЕЧЕНИЕ </w:t>
      </w:r>
    </w:p>
    <w:p>
      <w:pPr>
        <w:pStyle w:val="Normal"/>
        <w:spacing w:lineRule="auto" w:line="240" w:before="0" w:after="0"/>
        <w:ind w:hanging="0" w:left="0"/>
        <w:jc w:val="center"/>
        <w:rPr>
          <w:rFonts w:ascii="Times New Roman" w:hAnsi="Times New Roman"/>
        </w:rPr>
      </w:pPr>
      <w:r>
        <w:rPr>
          <w:rFonts w:cs="Book Antiqua"/>
          <w:b/>
          <w:bCs/>
          <w:color w:val="00000A"/>
          <w:sz w:val="28"/>
          <w:szCs w:val="28"/>
          <w:lang w:eastAsia="en-US"/>
        </w:rPr>
        <w:t xml:space="preserve">И РЕХАБИЛИТАЦИЯ </w:t>
      </w:r>
      <w:r>
        <w:rPr>
          <w:rFonts w:cs="Book Antiqua"/>
          <w:b/>
          <w:bCs/>
          <w:color w:val="00000A"/>
          <w:sz w:val="28"/>
          <w:szCs w:val="28"/>
          <w:lang w:val="ru-RU" w:eastAsia="en-US"/>
        </w:rPr>
        <w:t xml:space="preserve">НА БЕЛОДРОБНИ БОЛЕСТИ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w:t>
      </w:r>
      <w:r>
        <w:rPr>
          <w:rFonts w:cs="Book Antiqua"/>
          <w:b/>
          <w:bCs/>
          <w:color w:val="00000A"/>
          <w:sz w:val="28"/>
          <w:szCs w:val="28"/>
          <w:lang w:val="ru-RU" w:eastAsia="en-US"/>
        </w:rPr>
        <w:t>ЦАРИЦА ЙОАННА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ЕООД</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Град Трявна , ул. „Бреза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 49 , тел</w:t>
      </w:r>
      <w:r>
        <w:rPr>
          <w:rFonts w:cs="Book Antiqua"/>
          <w:b/>
          <w:bCs/>
          <w:color w:val="00000A"/>
          <w:sz w:val="28"/>
          <w:szCs w:val="28"/>
          <w:lang w:val="bg-BG" w:eastAsia="en-US"/>
        </w:rPr>
        <w:t>ефон</w:t>
      </w:r>
      <w:r>
        <w:rPr>
          <w:rFonts w:cs="Book Antiqua"/>
          <w:b/>
          <w:bCs/>
          <w:color w:val="00000A"/>
          <w:sz w:val="28"/>
          <w:szCs w:val="28"/>
          <w:lang w:val="ru-RU" w:eastAsia="en-US"/>
        </w:rPr>
        <w:t>: +359</w:t>
      </w:r>
      <w:r>
        <w:rPr>
          <w:rFonts w:cs="Book Antiqua"/>
          <w:b/>
          <w:bCs/>
          <w:color w:val="00000A"/>
          <w:sz w:val="28"/>
          <w:szCs w:val="28"/>
          <w:lang w:val="en-US" w:eastAsia="en-US"/>
        </w:rPr>
        <w:t xml:space="preserve"> </w:t>
      </w:r>
      <w:r>
        <w:rPr>
          <w:rFonts w:cs="Book Antiqua"/>
          <w:b/>
          <w:bCs/>
          <w:color w:val="00000A"/>
          <w:sz w:val="28"/>
          <w:szCs w:val="28"/>
          <w:lang w:val="ru-RU" w:eastAsia="en-US"/>
        </w:rPr>
        <w:t xml:space="preserve">677 62021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it-IT" w:eastAsia="en-US"/>
        </w:rPr>
        <w:t>e</w:t>
      </w:r>
      <w:r>
        <w:rPr>
          <w:rFonts w:cs="Book Antiqua"/>
          <w:b/>
          <w:bCs/>
          <w:color w:val="00000A"/>
          <w:sz w:val="28"/>
          <w:szCs w:val="28"/>
          <w:lang w:val="ru-RU" w:eastAsia="en-US"/>
        </w:rPr>
        <w:t xml:space="preserve"> – </w:t>
      </w:r>
      <w:r>
        <w:rPr>
          <w:rFonts w:cs="Book Antiqua"/>
          <w:b/>
          <w:bCs/>
          <w:color w:val="00000A"/>
          <w:sz w:val="28"/>
          <w:szCs w:val="28"/>
          <w:lang w:val="it-IT" w:eastAsia="en-US"/>
        </w:rPr>
        <w:t>mail</w:t>
      </w:r>
      <w:r>
        <w:rPr>
          <w:rFonts w:cs="Book Antiqua"/>
          <w:b/>
          <w:bCs/>
          <w:color w:val="00000A"/>
          <w:sz w:val="28"/>
          <w:szCs w:val="28"/>
          <w:lang w:val="ru-RU" w:eastAsia="en-US"/>
        </w:rPr>
        <w:t xml:space="preserve">: </w:t>
      </w:r>
      <w:r>
        <w:rPr>
          <w:rFonts w:cs="Book Antiqua"/>
          <w:b/>
          <w:bCs/>
          <w:color w:val="00000A"/>
          <w:sz w:val="28"/>
          <w:szCs w:val="28"/>
          <w:lang w:val="it-IT" w:eastAsia="en-US"/>
        </w:rPr>
        <w:t>pulmo</w:t>
      </w:r>
      <w:r>
        <w:rPr>
          <w:rFonts w:cs="Book Antiqua"/>
          <w:b/>
          <w:bCs/>
          <w:color w:val="00000A"/>
          <w:sz w:val="28"/>
          <w:szCs w:val="28"/>
          <w:lang w:val="ru-RU" w:eastAsia="en-US"/>
        </w:rPr>
        <w:t>_</w:t>
      </w:r>
      <w:r>
        <w:rPr>
          <w:rFonts w:cs="Book Antiqua"/>
          <w:b/>
          <w:bCs/>
          <w:color w:val="00000A"/>
          <w:sz w:val="28"/>
          <w:szCs w:val="28"/>
          <w:lang w:val="it-IT" w:eastAsia="en-US"/>
        </w:rPr>
        <w:t>tryavna</w:t>
      </w:r>
      <w:r>
        <w:rPr>
          <w:rFonts w:cs="Book Antiqua"/>
          <w:b/>
          <w:bCs/>
          <w:color w:val="00000A"/>
          <w:sz w:val="28"/>
          <w:szCs w:val="28"/>
          <w:lang w:val="ru-RU" w:eastAsia="en-US"/>
        </w:rPr>
        <w:t xml:space="preserve">@ </w:t>
      </w:r>
      <w:r>
        <w:rPr>
          <w:rFonts w:cs="Book Antiqua"/>
          <w:b/>
          <w:bCs/>
          <w:color w:val="00000A"/>
          <w:sz w:val="28"/>
          <w:szCs w:val="28"/>
          <w:lang w:val="it-IT" w:eastAsia="en-US"/>
        </w:rPr>
        <w:t>abv</w:t>
      </w:r>
      <w:r>
        <w:rPr>
          <w:rFonts w:cs="Book Antiqua"/>
          <w:b/>
          <w:bCs/>
          <w:color w:val="00000A"/>
          <w:sz w:val="28"/>
          <w:szCs w:val="28"/>
          <w:lang w:val="ru-RU" w:eastAsia="en-US"/>
        </w:rPr>
        <w:t>.</w:t>
      </w:r>
      <w:r>
        <w:rPr>
          <w:rFonts w:cs="Book Antiqua"/>
          <w:b/>
          <w:bCs/>
          <w:color w:val="00000A"/>
          <w:sz w:val="28"/>
          <w:szCs w:val="28"/>
          <w:lang w:val="it-IT" w:eastAsia="en-US"/>
        </w:rPr>
        <w:t>bg</w:t>
      </w:r>
    </w:p>
    <w:p>
      <w:pPr>
        <w:pStyle w:val="Normal"/>
        <w:spacing w:lineRule="auto" w:line="240" w:before="0" w:after="0"/>
        <w:ind w:hanging="0" w:left="0"/>
        <w:jc w:val="center"/>
        <w:rPr>
          <w:rFonts w:ascii="Times New Roman" w:hAnsi="Times New Roman"/>
        </w:rPr>
      </w:pPr>
      <w:r>
        <w:rPr>
          <w:b/>
          <w:color w:val="00000A"/>
          <w:sz w:val="28"/>
          <w:szCs w:val="28"/>
          <w:lang w:val="en-US" w:eastAsia="en-US"/>
        </w:rPr>
        <w:t>www</w:t>
      </w:r>
      <w:r>
        <w:rPr>
          <w:b/>
          <w:color w:val="00000A"/>
          <w:sz w:val="28"/>
          <w:szCs w:val="28"/>
          <w:lang w:val="ru-RU" w:eastAsia="en-US"/>
        </w:rPr>
        <w:t>.</w:t>
      </w:r>
      <w:r>
        <w:rPr>
          <w:b/>
          <w:color w:val="00000A"/>
          <w:sz w:val="28"/>
          <w:szCs w:val="28"/>
          <w:lang w:val="en-US" w:eastAsia="en-US"/>
        </w:rPr>
        <w:t>belodrobnadetska</w:t>
      </w:r>
      <w:r>
        <w:rPr>
          <w:b/>
          <w:color w:val="00000A"/>
          <w:sz w:val="28"/>
          <w:szCs w:val="28"/>
          <w:lang w:val="ru-RU" w:eastAsia="en-US"/>
        </w:rPr>
        <w:t>.</w:t>
      </w:r>
      <w:r>
        <w:rPr>
          <w:b/>
          <w:color w:val="00000A"/>
          <w:sz w:val="28"/>
          <w:szCs w:val="28"/>
          <w:lang w:val="en-US" w:eastAsia="en-US"/>
        </w:rPr>
        <w:t>com</w:t>
      </w:r>
    </w:p>
    <w:p>
      <w:pPr>
        <w:pStyle w:val="Heading1"/>
        <w:jc w:val="center"/>
        <w:rPr>
          <w:rFonts w:ascii="Times New Roman" w:hAnsi="Times New Roman"/>
          <w:sz w:val="28"/>
          <w:szCs w:val="28"/>
        </w:rPr>
      </w:pPr>
      <w:r>
        <w:rPr>
          <w:sz w:val="28"/>
          <w:szCs w:val="28"/>
        </w:rPr>
      </w:r>
    </w:p>
    <w:p>
      <w:pPr>
        <w:pStyle w:val="Heading1"/>
        <w:keepNext w:val="true"/>
        <w:keepLines/>
        <w:widowControl/>
        <w:numPr>
          <w:ilvl w:val="0"/>
          <w:numId w:val="0"/>
        </w:numPr>
        <w:bidi w:val="0"/>
        <w:spacing w:lineRule="auto" w:line="228" w:before="240" w:after="12"/>
        <w:ind w:hanging="0" w:left="0" w:right="283"/>
        <w:jc w:val="center"/>
        <w:rPr>
          <w:sz w:val="30"/>
          <w:szCs w:val="30"/>
        </w:rPr>
      </w:pPr>
      <w:r>
        <w:rPr>
          <w:rFonts w:ascii="Times New Roman" w:hAnsi="Times New Roman"/>
          <w:b/>
          <w:bCs/>
          <w:sz w:val="30"/>
          <w:szCs w:val="30"/>
        </w:rPr>
        <w:t>ТРЪЖНА ДОКУМЕНТАЦИЯ</w:t>
      </w:r>
    </w:p>
    <w:p>
      <w:pPr>
        <w:pStyle w:val="Normal"/>
        <w:spacing w:lineRule="auto" w:line="259" w:before="0" w:after="267"/>
        <w:ind w:hanging="10" w:left="10" w:right="274"/>
        <w:jc w:val="center"/>
        <w:rPr>
          <w:rFonts w:ascii="Times New Roman" w:hAnsi="Times New Roman"/>
          <w:sz w:val="28"/>
          <w:szCs w:val="28"/>
        </w:rPr>
      </w:pPr>
      <w:r>
        <w:rPr>
          <w:sz w:val="28"/>
          <w:szCs w:val="28"/>
        </w:rPr>
      </w:r>
    </w:p>
    <w:p>
      <w:pPr>
        <w:pStyle w:val="Normal"/>
        <w:spacing w:lineRule="auto" w:line="259" w:before="0" w:after="267"/>
        <w:ind w:hanging="10" w:left="10" w:right="274"/>
        <w:jc w:val="center"/>
        <w:rPr>
          <w:rFonts w:ascii="Times New Roman" w:hAnsi="Times New Roman"/>
        </w:rPr>
      </w:pPr>
      <w:r>
        <w:rPr>
          <w:sz w:val="28"/>
          <w:szCs w:val="28"/>
        </w:rPr>
        <w:t xml:space="preserve">ЗА ПРОДАЖБА ЧРЕЗ ЕЛЕКТРОНЕН ТЪРГ НА НЕДВИЖИМ </w:t>
      </w:r>
      <w:r>
        <w:rPr>
          <w:sz w:val="28"/>
          <w:szCs w:val="28"/>
          <w:lang w:val="bg-BG"/>
        </w:rPr>
        <w:t xml:space="preserve">ИМОТ - ОБОСОБЕНА ЧАСТ ОТ ЛЕЧЕБНО ЗАВЕДЕНИЕ, </w:t>
      </w:r>
      <w:r>
        <w:rPr>
          <w:sz w:val="28"/>
          <w:szCs w:val="28"/>
        </w:rPr>
        <w:t xml:space="preserve"> ПРЕДСТАВЛЯВАЩ:</w:t>
      </w:r>
    </w:p>
    <w:p>
      <w:pPr>
        <w:pStyle w:val="Normal"/>
        <w:widowControl/>
        <w:bidi w:val="0"/>
        <w:spacing w:lineRule="auto" w:line="240" w:before="0" w:after="494"/>
        <w:ind w:hanging="0" w:left="0" w:right="1191"/>
        <w:jc w:val="both"/>
        <w:rPr>
          <w:rFonts w:ascii="Times New Roman" w:hAnsi="Times New Roman"/>
        </w:rPr>
      </w:pPr>
      <w:bookmarkStart w:id="0" w:name="__DdeLink__798_74851953"/>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 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0"/>
      <w:r>
        <w:rPr>
          <w:rFonts w:eastAsia="Times New Roman" w:cs="Times New Roman"/>
          <w:b w:val="false"/>
          <w:bCs w:val="false"/>
          <w:sz w:val="28"/>
          <w:szCs w:val="28"/>
        </w:rPr>
        <w:t>.</w:t>
      </w:r>
    </w:p>
    <w:p>
      <w:pPr>
        <w:pStyle w:val="Normal"/>
        <w:spacing w:lineRule="auto" w:line="1528" w:beforeAutospacing="1" w:afterAutospacing="1"/>
        <w:ind w:hanging="216" w:left="0" w:right="680"/>
        <w:jc w:val="center"/>
        <w:rPr>
          <w:rFonts w:ascii="Times New Roman" w:hAnsi="Times New Roman"/>
          <w:sz w:val="28"/>
          <w:szCs w:val="28"/>
        </w:rPr>
      </w:pPr>
      <w:r>
        <w:rPr>
          <w:sz w:val="28"/>
          <w:szCs w:val="28"/>
        </w:rPr>
      </w:r>
    </w:p>
    <w:p>
      <w:pPr>
        <w:pStyle w:val="Normal"/>
        <w:ind w:hanging="0" w:left="0" w:right="35"/>
        <w:rPr>
          <w:rFonts w:ascii="Times New Roman" w:hAnsi="Times New Roman"/>
          <w:sz w:val="28"/>
          <w:szCs w:val="28"/>
        </w:rPr>
      </w:pPr>
      <w:r>
        <w:rPr>
          <w:sz w:val="28"/>
          <w:szCs w:val="28"/>
        </w:rPr>
      </w:r>
    </w:p>
    <w:p>
      <w:pPr>
        <w:pStyle w:val="Normal"/>
        <w:ind w:hanging="0" w:left="0" w:right="35"/>
        <w:rPr>
          <w:rFonts w:ascii="Times New Roman" w:hAnsi="Times New Roman"/>
        </w:rPr>
      </w:pPr>
      <w:r>
        <w:rPr>
          <w:sz w:val="28"/>
          <w:szCs w:val="28"/>
        </w:rPr>
        <w:tab/>
        <w:t>Настоящата тръжна документация е изготвена в съответствие с изискванията на Закона за приватизация и следприватизационен контрол и Наредбата за електронната платформа за продажба на имоти - частна държавна собственост, и на имоти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капитала.</w:t>
      </w:r>
    </w:p>
    <w:p>
      <w:pPr>
        <w:pStyle w:val="Normal"/>
        <w:spacing w:lineRule="auto" w:line="1528" w:beforeAutospacing="1" w:afterAutospacing="1"/>
        <w:ind w:hanging="0" w:left="0" w:right="680"/>
        <w:jc w:val="center"/>
        <w:rPr/>
      </w:pPr>
      <w:r>
        <w:rPr>
          <w:sz w:val="28"/>
          <w:szCs w:val="28"/>
          <w:lang w:val="bg-BG"/>
        </w:rPr>
        <w:t>септември</w:t>
      </w:r>
      <w:r>
        <w:rPr>
          <w:sz w:val="28"/>
          <w:szCs w:val="28"/>
        </w:rPr>
        <w:t xml:space="preserve">,  </w:t>
      </w:r>
      <w:r>
        <w:rPr>
          <w:sz w:val="28"/>
          <w:szCs w:val="28"/>
          <w:lang w:val="en-US"/>
        </w:rPr>
        <w:t>202</w:t>
      </w:r>
      <w:r>
        <w:rPr>
          <w:sz w:val="28"/>
          <w:szCs w:val="28"/>
          <w:lang w:val="bg-BG"/>
        </w:rPr>
        <w:t>5</w:t>
      </w:r>
      <w:r>
        <w:rPr>
          <w:sz w:val="28"/>
          <w:szCs w:val="28"/>
        </w:rPr>
        <w:t xml:space="preserve"> г.</w:t>
      </w:r>
    </w:p>
    <w:p>
      <w:pPr>
        <w:pStyle w:val="Normal"/>
        <w:spacing w:before="0" w:after="240"/>
        <w:ind w:hanging="0" w:left="28" w:right="35"/>
        <w:jc w:val="center"/>
        <w:rPr/>
      </w:pPr>
      <w:r>
        <w:rPr>
          <w:sz w:val="28"/>
          <w:szCs w:val="28"/>
        </w:rPr>
        <w:t>СЪДЪРЖАНИЕ НА ТРЪЖНАТА ДОКУМЕНТАЦИЯ:</w:t>
      </w:r>
    </w:p>
    <w:p>
      <w:pPr>
        <w:pStyle w:val="Normal"/>
        <w:spacing w:lineRule="auto" w:line="218" w:before="0" w:after="201"/>
        <w:ind w:firstLine="4" w:left="734"/>
        <w:rPr>
          <w:b/>
          <w:bCs/>
        </w:rPr>
      </w:pPr>
      <w:r>
        <w:rPr>
          <w:b/>
          <w:bCs/>
          <w:sz w:val="28"/>
          <w:szCs w:val="28"/>
        </w:rPr>
        <w:t xml:space="preserve">ЧАСТ 1. Правила за провеждане на електронен търг. </w:t>
      </w:r>
      <w:bookmarkStart w:id="1" w:name="__DdeLink__492_422066258"/>
      <w:r>
        <w:rPr>
          <w:b/>
          <w:bCs/>
          <w:sz w:val="28"/>
          <w:szCs w:val="28"/>
        </w:rPr>
        <w:t>У</w:t>
      </w:r>
      <w:bookmarkEnd w:id="1"/>
      <w:r>
        <w:rPr>
          <w:b/>
          <w:bCs/>
          <w:sz w:val="28"/>
          <w:szCs w:val="28"/>
        </w:rPr>
        <w:t>казания и условия за участие в търга и процедура за провеждането му</w:t>
      </w:r>
    </w:p>
    <w:p>
      <w:pPr>
        <w:pStyle w:val="Normal"/>
        <w:spacing w:lineRule="auto" w:line="218" w:before="0" w:after="233"/>
        <w:ind w:firstLine="4" w:left="734"/>
        <w:rPr>
          <w:b/>
          <w:bCs/>
        </w:rPr>
      </w:pPr>
      <w:r>
        <w:rPr>
          <w:b/>
          <w:bCs/>
          <w:sz w:val="28"/>
          <w:szCs w:val="28"/>
        </w:rPr>
        <w:t>ЧАСТ 2. Образци на документи</w:t>
      </w:r>
    </w:p>
    <w:p>
      <w:pPr>
        <w:pStyle w:val="Normal"/>
        <w:widowControl/>
        <w:numPr>
          <w:ilvl w:val="1"/>
          <w:numId w:val="1"/>
        </w:numPr>
        <w:bidi w:val="0"/>
        <w:spacing w:lineRule="auto" w:line="228" w:before="0" w:after="5"/>
        <w:ind w:firstLine="1020" w:left="515" w:right="57"/>
        <w:jc w:val="both"/>
        <w:rPr>
          <w:rFonts w:ascii="Times New Roman" w:hAnsi="Times New Roman"/>
        </w:rPr>
      </w:pPr>
      <w:r>
        <w:rPr>
          <w:sz w:val="28"/>
          <w:szCs w:val="28"/>
        </w:rPr>
        <w:t>Декларация за получена задължителна информация - Образец № 1 и Образец № 1А</w:t>
      </w:r>
    </w:p>
    <w:p>
      <w:pPr>
        <w:pStyle w:val="Normal"/>
        <w:widowControl/>
        <w:numPr>
          <w:ilvl w:val="1"/>
          <w:numId w:val="1"/>
        </w:numPr>
        <w:bidi w:val="0"/>
        <w:spacing w:lineRule="auto" w:line="228" w:before="0" w:after="31"/>
        <w:ind w:firstLine="1020" w:left="515" w:right="57"/>
        <w:jc w:val="both"/>
        <w:rPr>
          <w:rFonts w:ascii="Times New Roman" w:hAnsi="Times New Roman"/>
        </w:rPr>
      </w:pPr>
      <w:r>
        <w:rPr>
          <w:sz w:val="28"/>
          <w:szCs w:val="28"/>
        </w:rPr>
        <w:t>Декларация за липса на конфликт на интереси - Образец №2</w:t>
      </w:r>
    </w:p>
    <w:p>
      <w:pPr>
        <w:pStyle w:val="Normal"/>
        <w:ind w:firstLine="994" w:left="28" w:right="35"/>
        <w:rPr>
          <w:rFonts w:ascii="Times New Roman" w:hAnsi="Times New Roman"/>
        </w:rPr>
      </w:pPr>
      <w:r>
        <w:rPr>
          <w:sz w:val="28"/>
          <w:szCs w:val="28"/>
        </w:rPr>
        <w:t>З. Декларация по чл. 1, ал. 2 от Закона за приватизация и следприватизационен контрол (ЗПСК) - Образец № З, Образец № ЗА</w:t>
      </w:r>
    </w:p>
    <w:p>
      <w:pPr>
        <w:pStyle w:val="Normal"/>
        <w:numPr>
          <w:ilvl w:val="1"/>
          <w:numId w:val="2"/>
        </w:numPr>
        <w:spacing w:before="0" w:after="31"/>
        <w:ind w:firstLine="994" w:left="28" w:right="35"/>
        <w:rPr>
          <w:rFonts w:ascii="Times New Roman" w:hAnsi="Times New Roman"/>
        </w:rPr>
      </w:pPr>
      <w:r>
        <w:rPr>
          <w:sz w:val="28"/>
          <w:szCs w:val="28"/>
        </w:rPr>
        <w:t>Декларация по чл. 7, ал. 2 от ЗПСК - Образец № 4</w:t>
      </w:r>
    </w:p>
    <w:p>
      <w:pPr>
        <w:pStyle w:val="Normal"/>
        <w:numPr>
          <w:ilvl w:val="1"/>
          <w:numId w:val="2"/>
        </w:numPr>
        <w:spacing w:before="0" w:after="31"/>
        <w:ind w:firstLine="994" w:left="28" w:right="35"/>
        <w:rPr>
          <w:rFonts w:ascii="Times New Roman" w:hAnsi="Times New Roman"/>
        </w:rPr>
      </w:pPr>
      <w:r>
        <w:rPr>
          <w:sz w:val="28"/>
          <w:szCs w:val="28"/>
        </w:rPr>
        <w:t>Декларация за съгласие за предоставяне на лични данни - Образец № 5</w:t>
      </w:r>
    </w:p>
    <w:p>
      <w:pPr>
        <w:pStyle w:val="Normal"/>
        <w:numPr>
          <w:ilvl w:val="1"/>
          <w:numId w:val="2"/>
        </w:numPr>
        <w:ind w:firstLine="994" w:left="28" w:right="35"/>
        <w:rPr>
          <w:rFonts w:ascii="Times New Roman" w:hAnsi="Times New Roman"/>
        </w:rPr>
      </w:pPr>
      <w:r>
        <w:rPr>
          <w:sz w:val="28"/>
          <w:szCs w:val="28"/>
        </w:rPr>
        <w:t>Декларация за удостоверяване липсата на просрочени публични задължения, установени с влязъл в сила акт - Образец № 6</w:t>
      </w:r>
    </w:p>
    <w:p>
      <w:pPr>
        <w:pStyle w:val="Normal"/>
        <w:numPr>
          <w:ilvl w:val="1"/>
          <w:numId w:val="2"/>
        </w:numPr>
        <w:ind w:firstLine="994" w:left="28" w:right="35"/>
        <w:rPr>
          <w:rFonts w:ascii="Times New Roman" w:hAnsi="Times New Roman"/>
        </w:rPr>
      </w:pPr>
      <w:r>
        <w:rPr>
          <w:sz w:val="28"/>
          <w:szCs w:val="28"/>
        </w:rPr>
        <w:t>Декларация по чл. 14, ал. 1, т. 4 от Наредбата за електронната платформа Образец № 7</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за съгласие с процедурата и проекта на договор - Образец № 8</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по чл. 22 от Конституцията на Република България – Образец № 9, Образец № 9А и Образец № 9Б</w:t>
      </w:r>
    </w:p>
    <w:p>
      <w:pPr>
        <w:pStyle w:val="Normal"/>
        <w:numPr>
          <w:ilvl w:val="1"/>
          <w:numId w:val="2"/>
        </w:numPr>
        <w:spacing w:before="0" w:after="478"/>
        <w:ind w:firstLine="994" w:left="28" w:right="35"/>
        <w:rPr>
          <w:rFonts w:ascii="Times New Roman" w:hAnsi="Times New Roman"/>
        </w:rPr>
      </w:pPr>
      <w:r>
        <w:rPr>
          <w:sz w:val="28"/>
          <w:szCs w:val="28"/>
        </w:rPr>
        <w:t>Декларация по чл. 59, ал. 1, т. З от Закона за мерките срещу изпирането на пари (ЗМИП) - Образец № 10, Образец № 1ОА</w:t>
      </w:r>
    </w:p>
    <w:p>
      <w:pPr>
        <w:pStyle w:val="Normal"/>
        <w:spacing w:before="0" w:after="494"/>
        <w:ind w:firstLine="710" w:left="28" w:right="187"/>
        <w:rPr>
          <w:b/>
          <w:bCs/>
        </w:rPr>
      </w:pPr>
      <w:r>
        <w:rPr>
          <w:b/>
          <w:bCs/>
          <w:sz w:val="28"/>
          <w:szCs w:val="28"/>
        </w:rPr>
        <w:t>ЧАСТ 3. Приложения – неразделна част от документацията</w:t>
      </w:r>
    </w:p>
    <w:p>
      <w:pPr>
        <w:pStyle w:val="Normal"/>
        <w:widowControl/>
        <w:numPr>
          <w:ilvl w:val="0"/>
          <w:numId w:val="0"/>
        </w:numPr>
        <w:bidi w:val="0"/>
        <w:spacing w:lineRule="auto" w:line="228" w:before="0" w:after="240"/>
        <w:ind w:firstLine="737" w:left="0" w:right="0"/>
        <w:jc w:val="both"/>
        <w:rPr/>
      </w:pPr>
      <w:r>
        <w:rPr>
          <w:sz w:val="28"/>
          <w:szCs w:val="28"/>
        </w:rPr>
        <w:t xml:space="preserve">1. </w:t>
      </w:r>
      <w:r>
        <w:rPr>
          <w:sz w:val="28"/>
          <w:szCs w:val="28"/>
          <w:u w:val="single"/>
        </w:rPr>
        <w:t>Приложение № 1:</w:t>
      </w:r>
      <w:r>
        <w:rPr>
          <w:sz w:val="28"/>
          <w:szCs w:val="28"/>
        </w:rPr>
        <w:t xml:space="preserve"> Решение № </w:t>
      </w:r>
      <w:r>
        <w:rPr>
          <w:sz w:val="28"/>
          <w:szCs w:val="28"/>
        </w:rPr>
        <w:t>75</w:t>
      </w:r>
      <w:r>
        <w:rPr>
          <w:sz w:val="28"/>
          <w:szCs w:val="28"/>
        </w:rPr>
        <w:t xml:space="preserve"> / </w:t>
      </w:r>
      <w:r>
        <w:rPr>
          <w:sz w:val="28"/>
          <w:szCs w:val="28"/>
        </w:rPr>
        <w:t>26</w:t>
      </w:r>
      <w:r>
        <w:rPr>
          <w:sz w:val="28"/>
          <w:szCs w:val="28"/>
        </w:rPr>
        <w:t>.0</w:t>
      </w:r>
      <w:r>
        <w:rPr>
          <w:sz w:val="28"/>
          <w:szCs w:val="28"/>
        </w:rPr>
        <w:t>9</w:t>
      </w:r>
      <w:r>
        <w:rPr>
          <w:sz w:val="28"/>
          <w:szCs w:val="28"/>
        </w:rPr>
        <w:t>.</w:t>
      </w:r>
      <w:r>
        <w:rPr>
          <w:sz w:val="28"/>
          <w:szCs w:val="28"/>
          <w:lang w:val="en-US"/>
        </w:rPr>
        <w:t>202</w:t>
      </w:r>
      <w:r>
        <w:rPr>
          <w:sz w:val="28"/>
          <w:szCs w:val="28"/>
          <w:lang w:val="bg-BG"/>
        </w:rPr>
        <w:t>5</w:t>
      </w:r>
      <w:r>
        <w:rPr>
          <w:sz w:val="28"/>
          <w:szCs w:val="28"/>
        </w:rPr>
        <w:t xml:space="preserve"> г. на управителя на ДСБПЛРББ „Царица Йоанна“ ЕООД – град Трявна, за провеждане на търг по реда на 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w:t>
      </w:r>
    </w:p>
    <w:p>
      <w:pPr>
        <w:pStyle w:val="Normal"/>
        <w:widowControl/>
        <w:numPr>
          <w:ilvl w:val="0"/>
          <w:numId w:val="0"/>
        </w:numPr>
        <w:bidi w:val="0"/>
        <w:spacing w:lineRule="auto" w:line="264" w:before="0" w:after="426"/>
        <w:ind w:firstLine="737" w:left="0" w:right="0"/>
        <w:jc w:val="both"/>
        <w:rPr>
          <w:rFonts w:ascii="Times New Roman" w:hAnsi="Times New Roman"/>
        </w:rPr>
      </w:pPr>
      <w:r>
        <w:rPr>
          <w:sz w:val="28"/>
          <w:szCs w:val="28"/>
        </w:rPr>
        <w:t xml:space="preserve">2. </w:t>
      </w:r>
      <w:r>
        <w:rPr>
          <w:sz w:val="28"/>
          <w:szCs w:val="28"/>
          <w:u w:val="single"/>
        </w:rPr>
        <w:t>Приложение № 2</w:t>
      </w:r>
      <w:r>
        <w:rPr>
          <w:sz w:val="28"/>
          <w:szCs w:val="28"/>
        </w:rPr>
        <w:t>: Проект на договор</w:t>
      </w:r>
    </w:p>
    <w:p>
      <w:pPr>
        <w:pStyle w:val="Normal"/>
        <w:widowControl/>
        <w:numPr>
          <w:ilvl w:val="0"/>
          <w:numId w:val="0"/>
        </w:numPr>
        <w:bidi w:val="0"/>
        <w:spacing w:lineRule="auto" w:line="264" w:before="0" w:after="426"/>
        <w:ind w:firstLine="737" w:left="0" w:right="0"/>
        <w:jc w:val="both"/>
        <w:rPr>
          <w:rFonts w:ascii="Times New Roman" w:hAnsi="Times New Roman"/>
        </w:rPr>
      </w:pPr>
      <w:r>
        <w:rPr>
          <w:sz w:val="28"/>
          <w:szCs w:val="28"/>
        </w:rPr>
        <w:t xml:space="preserve">3. </w:t>
      </w:r>
      <w:r>
        <w:rPr>
          <w:sz w:val="28"/>
          <w:szCs w:val="28"/>
          <w:u w:val="single"/>
        </w:rPr>
        <w:t>Приложение № 3</w:t>
      </w:r>
      <w:r>
        <w:rPr>
          <w:sz w:val="28"/>
          <w:szCs w:val="28"/>
        </w:rPr>
        <w:t xml:space="preserve">: Информационен меморандум, </w:t>
      </w:r>
      <w:r>
        <w:rPr>
          <w:sz w:val="26"/>
          <w:szCs w:val="26"/>
        </w:rPr>
        <w:t xml:space="preserve">съдържащ анализ за правното и фактическо състояние, </w:t>
      </w:r>
      <w:r>
        <w:rPr>
          <w:sz w:val="28"/>
          <w:szCs w:val="28"/>
        </w:rPr>
        <w:t>достъпен за потребителите, които са се регистрирали в електронната платформа, съгласно чл. 13, ал. З от Наредбата за електронната платформа</w:t>
      </w:r>
    </w:p>
    <w:p>
      <w:pPr>
        <w:pStyle w:val="Normal"/>
        <w:spacing w:lineRule="auto" w:line="307" w:before="0" w:after="167"/>
        <w:ind w:hanging="10" w:left="10" w:right="266"/>
        <w:jc w:val="center"/>
        <w:rPr>
          <w:b/>
          <w:bCs/>
          <w:sz w:val="32"/>
          <w:szCs w:val="32"/>
        </w:rPr>
      </w:pPr>
      <w:r>
        <w:rPr>
          <w:b/>
          <w:bCs/>
          <w:sz w:val="32"/>
          <w:szCs w:val="32"/>
        </w:rPr>
      </w:r>
    </w:p>
    <w:p>
      <w:pPr>
        <w:pStyle w:val="Normal"/>
        <w:widowControl/>
        <w:bidi w:val="0"/>
        <w:spacing w:lineRule="auto" w:line="307" w:before="0" w:after="167"/>
        <w:ind w:hanging="0" w:left="0" w:right="283"/>
        <w:jc w:val="center"/>
        <w:rPr/>
      </w:pPr>
      <w:r>
        <w:rPr>
          <w:b/>
          <w:bCs/>
          <w:sz w:val="32"/>
          <w:szCs w:val="32"/>
        </w:rPr>
        <w:t>ЧАСТ 1</w:t>
      </w:r>
    </w:p>
    <w:p>
      <w:pPr>
        <w:pStyle w:val="Normal"/>
        <w:widowControl/>
        <w:bidi w:val="0"/>
        <w:spacing w:lineRule="auto" w:line="307" w:before="0" w:after="167"/>
        <w:ind w:hanging="0" w:left="0" w:right="283"/>
        <w:jc w:val="center"/>
        <w:rPr>
          <w:b/>
          <w:bCs/>
          <w:sz w:val="32"/>
          <w:szCs w:val="32"/>
        </w:rPr>
      </w:pPr>
      <w:r>
        <w:rPr>
          <w:b/>
          <w:bCs/>
          <w:sz w:val="32"/>
          <w:szCs w:val="32"/>
        </w:rPr>
      </w:r>
    </w:p>
    <w:p>
      <w:pPr>
        <w:pStyle w:val="Normal"/>
        <w:spacing w:lineRule="auto" w:line="307" w:before="0" w:after="167"/>
        <w:ind w:hanging="10" w:left="10" w:right="266"/>
        <w:jc w:val="center"/>
        <w:rPr>
          <w:rFonts w:ascii="Times New Roman" w:hAnsi="Times New Roman"/>
        </w:rPr>
      </w:pPr>
      <w:r>
        <w:rPr>
          <w:b/>
          <w:bCs/>
          <w:sz w:val="28"/>
          <w:szCs w:val="28"/>
        </w:rPr>
        <w:t xml:space="preserve">ПРАВИЛА </w:t>
      </w:r>
      <w:r>
        <w:rPr>
          <w:sz w:val="28"/>
          <w:szCs w:val="28"/>
        </w:rPr>
        <w:t>З</w:t>
      </w:r>
      <w:r>
        <w:rPr>
          <w:b/>
          <w:bCs/>
          <w:sz w:val="28"/>
          <w:szCs w:val="28"/>
        </w:rPr>
        <w:t>А ПРОВЕЖДАНЕ НА ЕЛЕКТРОНЕН ТЪРГ.</w:t>
      </w:r>
    </w:p>
    <w:p>
      <w:pPr>
        <w:pStyle w:val="Normal"/>
        <w:spacing w:lineRule="auto" w:line="307" w:before="0" w:after="167"/>
        <w:ind w:hanging="10" w:left="10" w:right="266"/>
        <w:jc w:val="center"/>
        <w:rPr/>
      </w:pPr>
      <w:r>
        <w:rPr>
          <w:b/>
          <w:bCs/>
          <w:sz w:val="28"/>
          <w:szCs w:val="28"/>
        </w:rPr>
        <w:t>УКАЗАНИЯ И УСЛОВИЯ ЗА УЧАСТИЕ В ТЪРГА И ПРОЦЕДУРА ЗА ПРОВЕЖДАНЕТО МУ</w:t>
      </w:r>
    </w:p>
    <w:p>
      <w:pPr>
        <w:pStyle w:val="Normal"/>
        <w:spacing w:lineRule="auto" w:line="307" w:before="0" w:after="167"/>
        <w:ind w:hanging="10" w:left="10" w:right="266"/>
        <w:jc w:val="center"/>
        <w:rPr>
          <w:rFonts w:ascii="Times New Roman" w:hAnsi="Times New Roman"/>
          <w:b/>
          <w:bCs/>
          <w:sz w:val="28"/>
          <w:szCs w:val="28"/>
        </w:rPr>
      </w:pPr>
      <w:r>
        <w:rPr>
          <w:b/>
          <w:bCs/>
          <w:sz w:val="28"/>
          <w:szCs w:val="28"/>
        </w:rPr>
      </w:r>
    </w:p>
    <w:p>
      <w:pPr>
        <w:pStyle w:val="Normal"/>
        <w:spacing w:lineRule="auto" w:line="307" w:before="0" w:after="167"/>
        <w:ind w:hanging="10" w:left="10" w:right="266"/>
        <w:jc w:val="center"/>
        <w:rPr/>
      </w:pPr>
      <w:r>
        <w:rPr>
          <w:sz w:val="28"/>
          <w:szCs w:val="28"/>
          <w:u w:val="single" w:color="000000"/>
        </w:rPr>
        <w:t>РАЗДЕЛ А</w:t>
      </w:r>
    </w:p>
    <w:p>
      <w:pPr>
        <w:pStyle w:val="Normal"/>
        <w:spacing w:lineRule="auto" w:line="259" w:before="0" w:after="0"/>
        <w:ind w:hanging="0" w:left="0" w:right="65"/>
        <w:jc w:val="center"/>
        <w:rPr>
          <w:rFonts w:ascii="Times New Roman" w:hAnsi="Times New Roman"/>
        </w:rPr>
      </w:pPr>
      <w:r>
        <w:rPr>
          <w:sz w:val="28"/>
          <w:szCs w:val="28"/>
        </w:rPr>
        <w:t>ОБЩА ИНФОРМАЦИЯ, ИЗИСКВАНИЯ КЪМ КАНДИДАТИТЕ И ДОКУМЕНТИ,</w:t>
      </w:r>
      <w:r>
        <w:rPr/>
        <w:drawing>
          <wp:inline distT="0" distB="0" distL="0" distR="0">
            <wp:extent cx="14605" cy="18415"/>
            <wp:effectExtent l="0" t="0" r="0" b="0"/>
            <wp:docPr id="1" name="Picture 14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292" descr=""/>
                    <pic:cNvPicPr>
                      <a:picLocks noChangeAspect="1" noChangeArrowheads="1"/>
                    </pic:cNvPicPr>
                  </pic:nvPicPr>
                  <pic:blipFill>
                    <a:blip r:embed="rId2"/>
                    <a:stretch>
                      <a:fillRect/>
                    </a:stretch>
                  </pic:blipFill>
                  <pic:spPr bwMode="auto">
                    <a:xfrm>
                      <a:off x="0" y="0"/>
                      <a:ext cx="14605" cy="18415"/>
                    </a:xfrm>
                    <a:prstGeom prst="rect">
                      <a:avLst/>
                    </a:prstGeom>
                  </pic:spPr>
                </pic:pic>
              </a:graphicData>
            </a:graphic>
          </wp:inline>
        </w:drawing>
      </w:r>
      <w:r>
        <w:rPr>
          <w:sz w:val="28"/>
          <w:szCs w:val="28"/>
        </w:rPr>
        <w:t xml:space="preserve"> КОИТО КАНДИДАТИТЕ СА ДЛЪЖНИ ДА ПРЕДСТАВЯТ, ЗА ДА БЪДАТ ДОПУСНАТИ ДО УЧАСТИЕ В ЕЛЕКТРОННИЯ ТЪРГ (ТЪРГА)</w:t>
      </w:r>
    </w:p>
    <w:p>
      <w:pPr>
        <w:pStyle w:val="Normal"/>
        <w:spacing w:lineRule="auto" w:line="259" w:before="0" w:after="0"/>
        <w:ind w:hanging="0" w:left="0" w:right="65"/>
        <w:jc w:val="center"/>
        <w:rPr>
          <w:rFonts w:ascii="Times New Roman" w:hAnsi="Times New Roman"/>
          <w:sz w:val="28"/>
          <w:szCs w:val="28"/>
        </w:rPr>
      </w:pPr>
      <w:r>
        <w:rPr>
          <w:sz w:val="28"/>
          <w:szCs w:val="28"/>
        </w:rPr>
      </w:r>
    </w:p>
    <w:p>
      <w:pPr>
        <w:pStyle w:val="Normal"/>
        <w:widowControl/>
        <w:bidi w:val="0"/>
        <w:spacing w:lineRule="auto" w:line="264" w:before="0" w:after="237"/>
        <w:ind w:hanging="0" w:left="0" w:right="0"/>
        <w:jc w:val="left"/>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1. ОБЩА ИНФОРМАЦИЯ</w:t>
      </w:r>
    </w:p>
    <w:p>
      <w:pPr>
        <w:pStyle w:val="Normal"/>
        <w:spacing w:before="0" w:after="494"/>
        <w:ind w:firstLine="710" w:left="28" w:right="187"/>
        <w:rPr/>
      </w:pPr>
      <w:r>
        <w:rPr>
          <w:sz w:val="28"/>
          <w:szCs w:val="28"/>
          <w:lang w:val="bg-BG"/>
        </w:rPr>
        <w:t xml:space="preserve">1.1. </w:t>
      </w:r>
      <w:r>
        <w:rPr>
          <w:sz w:val="28"/>
          <w:szCs w:val="28"/>
          <w:u w:val="single"/>
        </w:rPr>
        <w:t>Обект на търга</w:t>
      </w:r>
      <w:r>
        <w:rPr>
          <w:sz w:val="28"/>
          <w:szCs w:val="28"/>
        </w:rPr>
        <w:t xml:space="preserve">: недвижим имот – обособена част от лечебно заведение, представляващ: </w:t>
      </w:r>
      <w:bookmarkStart w:id="2" w:name="__DdeLink__798_748519536"/>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2"/>
      <w:r>
        <w:rPr>
          <w:rFonts w:eastAsia="Times New Roman" w:cs="Times New Roman"/>
          <w:b w:val="false"/>
          <w:bCs w:val="false"/>
          <w:sz w:val="28"/>
          <w:szCs w:val="28"/>
        </w:rPr>
        <w:t>.</w:t>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widowControl/>
        <w:bidi w:val="0"/>
        <w:spacing w:lineRule="auto" w:line="228" w:before="0" w:after="494"/>
        <w:ind w:hanging="57" w:left="57" w:right="170"/>
        <w:jc w:val="both"/>
        <w:rPr/>
      </w:pPr>
      <w:r>
        <w:rPr>
          <w:rFonts w:eastAsia="Times New Roman" w:cs="Times New Roman"/>
          <w:b w:val="false"/>
          <w:bCs w:val="false"/>
          <w:sz w:val="28"/>
          <w:szCs w:val="28"/>
        </w:rPr>
        <w:tab/>
        <w:tab/>
        <w:t xml:space="preserve">1.2. </w:t>
      </w:r>
      <w:r>
        <w:rPr>
          <w:sz w:val="28"/>
          <w:szCs w:val="28"/>
        </w:rPr>
        <w:t>Начална тръжна цена: 316 700 лв. /триста и шестнадесет хиляди, и седемстотин лева/, в това число земя 172 750 лв. /сто седемдесет и две хиляди, седемстотин и петдесет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1.3. Начин на плащане на цената: Цената, достигната на търга, се заплаща чрез банков превод по начина и в срока, указани в проекта на договора за продажба.</w:t>
      </w:r>
    </w:p>
    <w:p>
      <w:pPr>
        <w:pStyle w:val="Normal"/>
        <w:widowControl/>
        <w:bidi w:val="0"/>
        <w:spacing w:lineRule="auto" w:line="228" w:before="0" w:after="494"/>
        <w:ind w:hanging="57" w:left="57" w:right="170"/>
        <w:jc w:val="both"/>
        <w:rPr>
          <w:rFonts w:ascii="Times New Roman" w:hAnsi="Times New Roman"/>
        </w:rPr>
      </w:pPr>
      <w:r>
        <w:rPr>
          <w:sz w:val="28"/>
          <w:szCs w:val="28"/>
        </w:rPr>
        <w:tab/>
        <w:tab/>
        <w:t>1.4. Стъпката на наддаване за участие в търга е в размер на 4 000 /десет хиляди/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1.5. Размер на депозита и срок за внасянето му:</w:t>
      </w:r>
    </w:p>
    <w:p>
      <w:pPr>
        <w:pStyle w:val="Normal"/>
        <w:spacing w:before="0" w:after="218"/>
        <w:ind w:firstLine="710" w:left="28" w:right="35"/>
        <w:rPr/>
      </w:pPr>
      <w:r>
        <w:rPr>
          <w:sz w:val="28"/>
          <w:szCs w:val="28"/>
        </w:rPr>
        <w:t xml:space="preserve">Депозитът е в размер на 35 000 /тридесет и пет хиляди/ лева. За депозит се приема парична вноска по следната сметка </w:t>
      </w:r>
    </w:p>
    <w:p>
      <w:pPr>
        <w:pStyle w:val="Normal"/>
        <w:spacing w:lineRule="auto" w:line="240" w:before="0" w:after="0"/>
        <w:ind w:hanging="0" w:left="0"/>
        <w:jc w:val="left"/>
        <w:rPr>
          <w:rFonts w:ascii="Times New Roman" w:hAnsi="Times New Roman"/>
        </w:rPr>
      </w:pPr>
      <w:r>
        <w:rPr>
          <w:b/>
          <w:color w:val="00000A"/>
          <w:sz w:val="28"/>
          <w:szCs w:val="28"/>
        </w:rPr>
        <w:t>Титуляр: „СБПЛРББ-Царица Йоанна” ЕООД</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IBAN</w:t>
      </w:r>
      <w:r>
        <w:rPr>
          <w:b/>
          <w:color w:val="00000A"/>
          <w:sz w:val="28"/>
          <w:szCs w:val="28"/>
          <w:lang w:val="ru-RU"/>
        </w:rPr>
        <w:t>:</w:t>
      </w:r>
      <w:r>
        <w:rPr>
          <w:b/>
          <w:color w:val="00000A"/>
          <w:sz w:val="28"/>
          <w:szCs w:val="28"/>
        </w:rPr>
        <w:t xml:space="preserve"> </w:t>
      </w:r>
      <w:r>
        <w:rPr>
          <w:b/>
          <w:color w:val="00000A"/>
          <w:sz w:val="28"/>
          <w:szCs w:val="28"/>
          <w:lang w:val="en-US"/>
        </w:rPr>
        <w:t>BG</w:t>
      </w:r>
      <w:r>
        <w:rPr>
          <w:b/>
          <w:color w:val="00000A"/>
          <w:sz w:val="28"/>
          <w:szCs w:val="28"/>
          <w:lang w:val="ru-RU"/>
        </w:rPr>
        <w:t>10</w:t>
      </w:r>
      <w:r>
        <w:rPr>
          <w:b/>
          <w:color w:val="00000A"/>
          <w:sz w:val="28"/>
          <w:szCs w:val="28"/>
          <w:lang w:val="en-US"/>
        </w:rPr>
        <w:t>STSA</w:t>
      </w:r>
      <w:r>
        <w:rPr>
          <w:b/>
          <w:color w:val="00000A"/>
          <w:sz w:val="28"/>
          <w:szCs w:val="28"/>
          <w:lang w:val="ru-RU"/>
        </w:rPr>
        <w:t>93000024124683</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BIC</w:t>
      </w:r>
      <w:r>
        <w:rPr>
          <w:b/>
          <w:color w:val="00000A"/>
          <w:sz w:val="28"/>
          <w:szCs w:val="28"/>
          <w:lang w:val="ru-RU"/>
        </w:rPr>
        <w:t xml:space="preserve">: </w:t>
      </w:r>
      <w:r>
        <w:rPr>
          <w:b/>
          <w:color w:val="00000A"/>
          <w:sz w:val="28"/>
          <w:szCs w:val="28"/>
          <w:lang w:val="en-US"/>
        </w:rPr>
        <w:t>STSABGSF</w:t>
      </w:r>
    </w:p>
    <w:p>
      <w:pPr>
        <w:pStyle w:val="Normal"/>
        <w:spacing w:lineRule="auto" w:line="240" w:before="0" w:after="0"/>
        <w:ind w:hanging="0" w:left="0"/>
        <w:jc w:val="left"/>
        <w:rPr>
          <w:rFonts w:ascii="Book Antiqua" w:hAnsi="Book Antiqua"/>
          <w:b/>
          <w:color w:val="00000A"/>
          <w:szCs w:val="24"/>
        </w:rPr>
      </w:pPr>
      <w:r>
        <w:rPr>
          <w:b/>
          <w:color w:val="00000A"/>
          <w:sz w:val="28"/>
          <w:szCs w:val="28"/>
        </w:rPr>
        <w:t>„</w:t>
      </w:r>
      <w:r>
        <w:rPr>
          <w:b/>
          <w:color w:val="00000A"/>
          <w:sz w:val="28"/>
          <w:szCs w:val="28"/>
        </w:rPr>
        <w:t>БАНКА ДСК” ЕАД</w:t>
      </w:r>
    </w:p>
    <w:p>
      <w:pPr>
        <w:pStyle w:val="Normal"/>
        <w:ind w:firstLine="710" w:left="28" w:right="35"/>
        <w:rPr>
          <w:rFonts w:ascii="Book Antiqua" w:hAnsi="Book Antiqua"/>
          <w:sz w:val="28"/>
          <w:szCs w:val="28"/>
        </w:rPr>
      </w:pPr>
      <w:r>
        <w:rPr>
          <w:sz w:val="28"/>
          <w:szCs w:val="28"/>
        </w:rPr>
        <w:t>Депозитът  за участие следва да е постъпил по горепосочената сметка най-късно до изтичане на срока за Регистрация за участие в търга.</w:t>
      </w:r>
    </w:p>
    <w:p>
      <w:pPr>
        <w:pStyle w:val="Normal"/>
        <w:ind w:firstLine="710" w:left="28" w:right="35"/>
        <w:rPr>
          <w:rFonts w:ascii="Book Antiqua" w:hAnsi="Book Antiqua"/>
          <w:sz w:val="28"/>
          <w:szCs w:val="28"/>
        </w:rPr>
      </w:pPr>
      <w:r>
        <w:rPr>
          <w:sz w:val="28"/>
          <w:szCs w:val="28"/>
        </w:rPr>
        <w:t>Постъпването на депозита по сметката на СБПЛРББ  е условие за допускане до участие в търга и се удостоверява чрез получено потвърждение от страна на банката на СБПЛРББ за извършения банков превод.</w:t>
      </w:r>
    </w:p>
    <w:p>
      <w:pPr>
        <w:pStyle w:val="Normal"/>
        <w:spacing w:before="0" w:after="253"/>
        <w:ind w:firstLine="710" w:left="28" w:right="35"/>
        <w:rPr>
          <w:rFonts w:ascii="Book Antiqua" w:hAnsi="Book Antiqua"/>
          <w:sz w:val="28"/>
          <w:szCs w:val="28"/>
        </w:rPr>
      </w:pPr>
      <w:r>
        <w:rPr>
          <w:sz w:val="28"/>
          <w:szCs w:val="28"/>
        </w:rPr>
        <w:t>Внесеният депозит не се олихвява. Всички разноски по превода на депозита са за сметка на кандидата в търга.</w:t>
      </w:r>
    </w:p>
    <w:p>
      <w:pPr>
        <w:pStyle w:val="Normal"/>
        <w:spacing w:before="0" w:after="272"/>
        <w:ind w:firstLine="710" w:left="28" w:right="35"/>
        <w:rPr>
          <w:rFonts w:ascii="Times New Roman" w:hAnsi="Times New Roman"/>
        </w:rPr>
      </w:pPr>
      <w:r>
        <w:rPr>
          <w:sz w:val="28"/>
          <w:szCs w:val="28"/>
        </w:rPr>
        <w:t>1.6. Срокът на валидност на настоящата процедура е З (три) месеца, считано от датата на публикуване в ЕППИ , с възможност да бъде удължен еднократно в случаите, когато първият кандидат се регистрира за участие в електронния търг през някой от последните 15 (петнадесет) работни дни от валидността на процедурата.</w:t>
      </w:r>
    </w:p>
    <w:p>
      <w:pPr>
        <w:pStyle w:val="Normal"/>
        <w:spacing w:before="0" w:after="276"/>
        <w:ind w:firstLine="710" w:left="28" w:right="35"/>
        <w:rPr>
          <w:rFonts w:ascii="Times New Roman" w:hAnsi="Times New Roman"/>
        </w:rPr>
      </w:pPr>
      <w:r>
        <w:rPr>
          <w:sz w:val="28"/>
          <w:szCs w:val="28"/>
        </w:rPr>
        <w:t>1.7. Срокът за регистрация за участие в електронния търг е 12 (дванадесет) работни дни до 23:59 часа, считано от регистрацията за участие на първия кандидат.</w:t>
      </w:r>
    </w:p>
    <w:p>
      <w:pPr>
        <w:pStyle w:val="Normal"/>
        <w:spacing w:before="0" w:after="267"/>
        <w:ind w:firstLine="710" w:left="28" w:right="35"/>
        <w:rPr>
          <w:rFonts w:ascii="Book Antiqua" w:hAnsi="Book Antiqua"/>
          <w:sz w:val="28"/>
          <w:szCs w:val="28"/>
        </w:rPr>
      </w:pPr>
      <w:r>
        <w:rPr>
          <w:sz w:val="28"/>
          <w:szCs w:val="28"/>
        </w:rPr>
        <w:t>1.8. Дата на провеждане: търгът ще се проведе на 15-ия работен ден, считано от Регистрацията за участие на първия кандидат.</w:t>
      </w:r>
    </w:p>
    <w:p>
      <w:pPr>
        <w:pStyle w:val="Normal"/>
        <w:spacing w:before="0" w:after="547"/>
        <w:ind w:firstLine="710" w:left="28" w:right="35"/>
        <w:rPr>
          <w:rFonts w:ascii="Times New Roman" w:hAnsi="Times New Roman"/>
        </w:rPr>
      </w:pPr>
      <w:r>
        <w:rPr>
          <w:sz w:val="28"/>
          <w:szCs w:val="28"/>
        </w:rPr>
        <w:t>1.9. Начален час на търга: търгът ще се проведе от 11.00 часа българско време, като наддаването е с продължителност от 30 /тридесет/ минути.</w:t>
      </w:r>
    </w:p>
    <w:p>
      <w:pPr>
        <w:pStyle w:val="Normal"/>
        <w:spacing w:before="0" w:after="547"/>
        <w:ind w:firstLine="710" w:left="28" w:right="35"/>
        <w:rPr>
          <w:rFonts w:ascii="Book Antiqua" w:hAnsi="Book Antiqua"/>
          <w:sz w:val="28"/>
          <w:szCs w:val="28"/>
        </w:rPr>
      </w:pPr>
      <w:r>
        <w:rPr>
          <w:rFonts w:ascii="Book Antiqua" w:hAnsi="Book Antiqua"/>
          <w:sz w:val="28"/>
          <w:szCs w:val="28"/>
        </w:rPr>
      </w:r>
    </w:p>
    <w:p>
      <w:pPr>
        <w:pStyle w:val="Normal"/>
        <w:widowControl/>
        <w:numPr>
          <w:ilvl w:val="0"/>
          <w:numId w:val="0"/>
        </w:numPr>
        <w:tabs>
          <w:tab w:val="clear" w:pos="708"/>
          <w:tab w:val="left" w:pos="0" w:leader="none"/>
        </w:tabs>
        <w:bidi w:val="0"/>
        <w:spacing w:lineRule="auto" w:line="264" w:before="0" w:after="237"/>
        <w:ind w:hanging="0" w:left="0" w:right="0"/>
        <w:jc w:val="both"/>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2. ИЗИСКВАНИЯ КЪМ КАНДИДАТИТЕ</w:t>
      </w:r>
    </w:p>
    <w:p>
      <w:pPr>
        <w:pStyle w:val="Normal"/>
        <w:spacing w:before="0" w:after="48"/>
        <w:ind w:firstLine="710" w:left="28" w:right="35"/>
        <w:rPr>
          <w:rFonts w:ascii="Book Antiqua" w:hAnsi="Book Antiqua"/>
          <w:sz w:val="28"/>
          <w:szCs w:val="28"/>
        </w:rPr>
      </w:pPr>
      <w:r>
        <w:rPr>
          <w:sz w:val="28"/>
          <w:szCs w:val="28"/>
        </w:rPr>
        <w:t>В търга могат да участват при равни условия всички физически и юридически лица, които отговарят на изискванията на ЗПСК, съответните приложими разпоредби на действащото българско законодателство и които:</w:t>
      </w:r>
    </w:p>
    <w:p>
      <w:pPr>
        <w:pStyle w:val="Normal"/>
        <w:numPr>
          <w:ilvl w:val="1"/>
          <w:numId w:val="3"/>
        </w:numPr>
        <w:spacing w:before="0" w:after="45"/>
        <w:ind w:hanging="360" w:left="1447" w:right="35"/>
        <w:rPr/>
      </w:pPr>
      <w:r>
        <w:rPr>
          <w:sz w:val="28"/>
          <w:szCs w:val="28"/>
        </w:rPr>
        <w:t>нямат публични задължения към българската държава, установени с влязъл в сила акт;</w:t>
      </w:r>
    </w:p>
    <w:p>
      <w:pPr>
        <w:pStyle w:val="Normal"/>
        <w:numPr>
          <w:ilvl w:val="1"/>
          <w:numId w:val="3"/>
        </w:numPr>
        <w:spacing w:before="0" w:after="31"/>
        <w:ind w:hanging="360" w:left="1447" w:right="35"/>
        <w:rPr>
          <w:rFonts w:ascii="Book Antiqua" w:hAnsi="Book Antiqua"/>
          <w:sz w:val="28"/>
          <w:szCs w:val="28"/>
        </w:rPr>
      </w:pPr>
      <w:r>
        <w:rPr>
          <w:sz w:val="28"/>
          <w:szCs w:val="28"/>
        </w:rPr>
        <w:t>не са лица, за които съществуват обстоятелствата по чл. 7, ал. 2 от ЗПСК;</w:t>
      </w:r>
    </w:p>
    <w:p>
      <w:pPr>
        <w:pStyle w:val="Normal"/>
        <w:numPr>
          <w:ilvl w:val="1"/>
          <w:numId w:val="3"/>
        </w:numPr>
        <w:spacing w:before="0" w:after="46"/>
        <w:ind w:hanging="360" w:left="1447" w:right="35"/>
        <w:rPr>
          <w:rFonts w:ascii="Times New Roman" w:hAnsi="Times New Roman"/>
        </w:rPr>
      </w:pPr>
      <w:r>
        <w:rPr>
          <w:sz w:val="28"/>
          <w:szCs w:val="28"/>
        </w:rPr>
        <w:t>не са свързани лица по смисъла на § 1, т. 15 от допълнителните разпоредби на Закона за противодействие на корупцията и за отнемане на незаконно придобитото имущество с член на изпълнителния или надзорния съвет на АППК или не са сключили договор с лице по чл. 68 от същия закон, или нямат друг конфликт на интереси, който не е отстранен към момента на подаване на документите за участие в търга;</w:t>
      </w:r>
    </w:p>
    <w:p>
      <w:pPr>
        <w:pStyle w:val="Normal"/>
        <w:numPr>
          <w:ilvl w:val="1"/>
          <w:numId w:val="3"/>
        </w:numPr>
        <w:ind w:hanging="360" w:left="1447" w:right="35"/>
        <w:rPr>
          <w:rFonts w:ascii="Book Antiqua" w:hAnsi="Book Antiqua"/>
          <w:sz w:val="28"/>
          <w:szCs w:val="28"/>
        </w:rPr>
      </w:pPr>
      <w:r>
        <w:rPr>
          <w:sz w:val="28"/>
          <w:szCs w:val="28"/>
        </w:rPr>
        <w:t>не са обявени в несъстоятелност, не са в процедура по ликвидация, съответно не са осъдени за банкрут — което е приложимо;</w:t>
      </w:r>
    </w:p>
    <w:p>
      <w:pPr>
        <w:pStyle w:val="Normal"/>
        <w:numPr>
          <w:ilvl w:val="1"/>
          <w:numId w:val="3"/>
        </w:numPr>
        <w:spacing w:before="0" w:after="43"/>
        <w:ind w:hanging="360" w:left="1447" w:right="35"/>
        <w:rPr>
          <w:rFonts w:ascii="Book Antiqua" w:hAnsi="Book Antiqua"/>
          <w:sz w:val="28"/>
          <w:szCs w:val="28"/>
        </w:rPr>
      </w:pPr>
      <w:r>
        <w:rPr>
          <w:sz w:val="28"/>
          <w:szCs w:val="28"/>
        </w:rPr>
        <w:t>не са лица, за които със закон е установено, че нямат право да придобиват право на собственост върху земя на територията на Република България, когато е приложимо;</w:t>
      </w:r>
    </w:p>
    <w:p>
      <w:pPr>
        <w:pStyle w:val="Normal"/>
        <w:numPr>
          <w:ilvl w:val="1"/>
          <w:numId w:val="3"/>
        </w:numPr>
        <w:ind w:hanging="360" w:left="1447" w:right="35"/>
        <w:rPr>
          <w:rFonts w:ascii="Book Antiqua" w:hAnsi="Book Antiqua"/>
          <w:sz w:val="28"/>
          <w:szCs w:val="28"/>
        </w:rPr>
      </w:pPr>
      <w:r>
        <w:rPr>
          <w:sz w:val="28"/>
          <w:szCs w:val="28"/>
        </w:rPr>
        <w:t>не са дружества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регистрирано в юрисдикция с преференциален данъчен режим съгласно същия закон;</w:t>
      </w:r>
    </w:p>
    <w:p>
      <w:pPr>
        <w:pStyle w:val="Normal"/>
        <w:numPr>
          <w:ilvl w:val="1"/>
          <w:numId w:val="3"/>
        </w:numPr>
        <w:spacing w:before="0" w:after="56"/>
        <w:ind w:hanging="360" w:left="1447" w:right="35"/>
        <w:rPr>
          <w:rFonts w:ascii="Book Antiqua" w:hAnsi="Book Antiqua"/>
          <w:sz w:val="28"/>
          <w:szCs w:val="28"/>
        </w:rPr>
      </w:pPr>
      <w:r>
        <w:rPr>
          <w:sz w:val="28"/>
          <w:szCs w:val="28"/>
        </w:rPr>
        <w:t>не са българско юридическо лице с 50 на сто или с повече от 50 на сто държавно и/или Общинско участие в капитала.</w:t>
      </w:r>
    </w:p>
    <w:p>
      <w:pPr>
        <w:pStyle w:val="Normal"/>
        <w:numPr>
          <w:ilvl w:val="1"/>
          <w:numId w:val="3"/>
        </w:numPr>
        <w:spacing w:before="0" w:after="631"/>
        <w:ind w:hanging="360" w:left="1447" w:right="35"/>
        <w:rPr>
          <w:rFonts w:ascii="Book Antiqua" w:hAnsi="Book Antiqua"/>
          <w:sz w:val="28"/>
          <w:szCs w:val="28"/>
        </w:rPr>
      </w:pPr>
      <w:r>
        <w:rPr>
          <w:sz w:val="28"/>
          <w:szCs w:val="28"/>
        </w:rPr>
        <w:t>не участват под формата на гражданско дружество, което не е юридическо лице.</w:t>
      </w:r>
    </w:p>
    <w:p>
      <w:pPr>
        <w:pStyle w:val="Normal"/>
        <w:spacing w:lineRule="auto" w:line="264" w:before="0" w:after="489"/>
        <w:ind w:hanging="0" w:left="7"/>
        <w:jc w:val="both"/>
        <w:rPr>
          <w:sz w:val="28"/>
          <w:szCs w:val="28"/>
          <w:u w:val="none" w:color="000000"/>
        </w:rPr>
      </w:pPr>
      <w:r>
        <w:rPr>
          <w:sz w:val="28"/>
          <w:szCs w:val="28"/>
          <w:u w:val="none" w:color="000000"/>
        </w:rPr>
      </w:r>
    </w:p>
    <w:p>
      <w:pPr>
        <w:pStyle w:val="Normal"/>
        <w:spacing w:lineRule="auto" w:line="264" w:before="0" w:after="489"/>
        <w:ind w:hanging="0" w:left="7"/>
        <w:jc w:val="both"/>
        <w:rPr>
          <w:sz w:val="28"/>
          <w:szCs w:val="28"/>
          <w:u w:val="none" w:color="000000"/>
        </w:rPr>
      </w:pPr>
      <w:r>
        <w:rPr>
          <w:sz w:val="28"/>
          <w:szCs w:val="28"/>
          <w:u w:val="none" w:color="000000"/>
        </w:rPr>
      </w:r>
    </w:p>
    <w:p>
      <w:pPr>
        <w:pStyle w:val="Normal"/>
        <w:spacing w:lineRule="auto" w:line="264" w:before="0" w:after="489"/>
        <w:ind w:hanging="0" w:left="7"/>
        <w:jc w:val="both"/>
        <w:rPr>
          <w:sz w:val="28"/>
          <w:szCs w:val="28"/>
          <w:u w:val="none" w:color="000000"/>
        </w:rPr>
      </w:pPr>
      <w:r>
        <w:rPr>
          <w:sz w:val="28"/>
          <w:szCs w:val="28"/>
          <w:u w:val="none" w:color="000000"/>
        </w:rPr>
      </w:r>
    </w:p>
    <w:p>
      <w:pPr>
        <w:pStyle w:val="Normal"/>
        <w:spacing w:lineRule="auto" w:line="264" w:before="0" w:after="489"/>
        <w:ind w:hanging="0" w:left="7"/>
        <w:jc w:val="both"/>
        <w:rPr>
          <w:rFonts w:ascii="Times New Roman" w:hAnsi="Times New Roman"/>
        </w:rPr>
      </w:pPr>
      <w:r>
        <w:rPr>
          <w:sz w:val="28"/>
          <w:szCs w:val="28"/>
          <w:u w:val="none" w:color="000000"/>
        </w:rPr>
        <w:tab/>
        <w:t xml:space="preserve">3. </w:t>
      </w:r>
      <w:r>
        <w:rPr>
          <w:sz w:val="28"/>
          <w:szCs w:val="28"/>
          <w:u w:val="single" w:color="000000"/>
        </w:rPr>
        <w:t>ДОКУМЕНТИ. КОИТО КАНДИДАТИТЕ СА ДЛЪЖНИ ДА ПРЕДСТАВЯТ, ЗА ДА БЪДАТ ДОПУСНАТИ ДО УЧАСТИЕ В ТЪРГА</w:t>
      </w:r>
    </w:p>
    <w:p>
      <w:pPr>
        <w:pStyle w:val="Normal"/>
        <w:spacing w:lineRule="auto" w:line="264" w:before="0" w:after="237"/>
        <w:ind w:firstLine="4" w:left="727"/>
        <w:jc w:val="left"/>
        <w:rPr>
          <w:rFonts w:ascii="Times New Roman" w:hAnsi="Times New Roman"/>
        </w:rPr>
      </w:pPr>
      <w:r>
        <w:rPr>
          <w:sz w:val="28"/>
          <w:szCs w:val="28"/>
          <w:u w:val="single" w:color="000000"/>
        </w:rPr>
        <w:t>3.1. ДОКУМЕНТИ ЗА ЛЕГИТИМАЦИЯ И ПРЕДСТАВИТЕЛНА ВЛАСТ:</w:t>
      </w:r>
    </w:p>
    <w:p>
      <w:pPr>
        <w:pStyle w:val="Normal"/>
        <w:widowControl/>
        <w:numPr>
          <w:ilvl w:val="2"/>
          <w:numId w:val="4"/>
        </w:numPr>
        <w:bidi w:val="0"/>
        <w:spacing w:lineRule="auto" w:line="228" w:before="0" w:after="250"/>
        <w:ind w:hanging="0" w:left="370" w:right="57"/>
        <w:jc w:val="both"/>
        <w:rPr/>
      </w:pPr>
      <w:r>
        <w:rPr>
          <w:sz w:val="28"/>
          <w:szCs w:val="28"/>
        </w:rPr>
        <w:t>Физическите лица, които не са еднолични търговци, посочват своя ЕГН;</w:t>
      </w:r>
    </w:p>
    <w:p>
      <w:pPr>
        <w:pStyle w:val="Normal"/>
        <w:widowControl/>
        <w:numPr>
          <w:ilvl w:val="2"/>
          <w:numId w:val="4"/>
        </w:numPr>
        <w:bidi w:val="0"/>
        <w:spacing w:lineRule="auto" w:line="228" w:before="0" w:after="31"/>
        <w:jc w:val="both"/>
        <w:rPr/>
      </w:pPr>
      <w:r>
        <w:rPr>
          <w:sz w:val="28"/>
          <w:szCs w:val="28"/>
        </w:rPr>
        <w:t>Едноличните търговци представят актуално състояние на вписванията по партидата си в Търговския регистър и регистъра на юридическите лица с нестопанска цел</w:t>
      </w:r>
      <w:bookmarkStart w:id="3" w:name="__DdeLink__3775_150093362"/>
      <w:r>
        <w:rPr>
          <w:sz w:val="28"/>
          <w:szCs w:val="28"/>
        </w:rPr>
        <w:t xml:space="preserve"> (ЗТРРЮЛНЦ)</w:t>
      </w:r>
      <w:bookmarkEnd w:id="3"/>
      <w:r>
        <w:rPr>
          <w:sz w:val="28"/>
          <w:szCs w:val="28"/>
        </w:rPr>
        <w:t xml:space="preserve"> или посочват ЕИК съгласно чл. 23, ал. 6 от същия закон;</w:t>
      </w:r>
    </w:p>
    <w:p>
      <w:pPr>
        <w:pStyle w:val="Normal"/>
        <w:widowControl/>
        <w:numPr>
          <w:ilvl w:val="0"/>
          <w:numId w:val="0"/>
        </w:numPr>
        <w:bidi w:val="0"/>
        <w:spacing w:lineRule="auto" w:line="228" w:before="0" w:after="31"/>
        <w:ind w:firstLine="710" w:left="3787"/>
        <w:jc w:val="both"/>
        <w:rPr>
          <w:rFonts w:ascii="Times New Roman" w:hAnsi="Times New Roman"/>
          <w:sz w:val="28"/>
          <w:szCs w:val="28"/>
        </w:rPr>
      </w:pPr>
      <w:r>
        <w:rPr>
          <w:sz w:val="28"/>
          <w:szCs w:val="28"/>
        </w:rPr>
      </w:r>
    </w:p>
    <w:p>
      <w:pPr>
        <w:pStyle w:val="Normal"/>
        <w:widowControl/>
        <w:bidi w:val="0"/>
        <w:spacing w:lineRule="auto" w:line="228" w:before="0" w:after="257"/>
        <w:ind w:hanging="0" w:left="0" w:right="57"/>
        <w:jc w:val="both"/>
        <w:rPr>
          <w:rFonts w:ascii="Times New Roman" w:hAnsi="Times New Roman"/>
        </w:rPr>
      </w:pPr>
      <w:r>
        <w:rPr>
          <w:sz w:val="28"/>
          <w:szCs w:val="28"/>
        </w:rPr>
        <w:t>3.1.3. Юридическите лица представят:</w:t>
      </w:r>
    </w:p>
    <w:p>
      <w:pPr>
        <w:pStyle w:val="Normal"/>
        <w:ind w:firstLine="710" w:left="28" w:right="35"/>
        <w:rPr/>
      </w:pPr>
      <w:r>
        <w:rPr>
          <w:sz w:val="28"/>
          <w:szCs w:val="28"/>
        </w:rPr>
        <w:t>а) удостоверение за актуално състояние на вписванията по партидата си в Търговския  регистър и регистър на юридическите лица с нестопанска цел или посочват ЕИК съгласно чл. 23, ал. 6 от ЗТРРЮЛНЦ.</w:t>
      </w:r>
    </w:p>
    <w:p>
      <w:pPr>
        <w:pStyle w:val="Normal"/>
        <w:spacing w:before="0" w:after="230"/>
        <w:ind w:firstLine="710" w:left="28" w:right="35"/>
        <w:rPr/>
      </w:pPr>
      <w:r>
        <w:rPr>
          <w:sz w:val="28"/>
          <w:szCs w:val="28"/>
        </w:rPr>
        <w:t>б) решение на компетентния управителен орган на юридическото лице за участие в търга за придобиване на имота;</w:t>
      </w:r>
    </w:p>
    <w:p>
      <w:pPr>
        <w:pStyle w:val="Normal"/>
        <w:ind w:firstLine="710" w:left="28" w:right="35"/>
        <w:rPr>
          <w:rFonts w:ascii="Book Antiqua" w:hAnsi="Book Antiqua"/>
          <w:sz w:val="28"/>
          <w:szCs w:val="28"/>
        </w:rPr>
      </w:pPr>
      <w:r>
        <w:rPr>
          <w:sz w:val="28"/>
          <w:szCs w:val="28"/>
        </w:rPr>
        <w:t>3.1.4. Когато кандидат за участие в търга е чужденец или чуждестранно юридическо лице, съответните документи по предходните точки се представят преведени на български език и легализирани, съгласно Правилника за легализациите, заверките и преводите на документи и други книжа.</w:t>
      </w:r>
    </w:p>
    <w:p>
      <w:pPr>
        <w:pStyle w:val="Normal"/>
        <w:spacing w:before="0" w:after="184"/>
        <w:ind w:firstLine="710" w:left="28" w:right="35"/>
        <w:rPr>
          <w:rFonts w:ascii="Book Antiqua" w:hAnsi="Book Antiqua"/>
          <w:sz w:val="28"/>
          <w:szCs w:val="28"/>
        </w:rPr>
      </w:pPr>
      <w:r>
        <w:rPr>
          <w:sz w:val="28"/>
          <w:szCs w:val="28"/>
        </w:rPr>
        <w:t>Кандидатите представят документ за актуално състояние, издаден от компетентния орган в съответствие с действащото законодателство на държавата, където лицето е регистрирано.</w:t>
      </w:r>
    </w:p>
    <w:p>
      <w:pPr>
        <w:pStyle w:val="Normal"/>
        <w:ind w:firstLine="710" w:left="28" w:right="35"/>
        <w:rPr>
          <w:rFonts w:ascii="Times New Roman" w:hAnsi="Times New Roman"/>
        </w:rPr>
      </w:pPr>
      <w:r>
        <w:rPr>
          <w:sz w:val="28"/>
          <w:szCs w:val="28"/>
        </w:rPr>
        <w:t>В чл. 1 от Конвенцията за премахване на изискването за легализация на чуждестранни публични актове (обн. ДВ, бр. 45 /2001 г.), изчерпателно са изброени документите, които са освободени от легализация.</w:t>
      </w:r>
    </w:p>
    <w:p>
      <w:pPr>
        <w:pStyle w:val="Normal"/>
        <w:spacing w:before="0" w:after="241"/>
        <w:ind w:firstLine="710" w:left="28" w:right="35"/>
        <w:rPr>
          <w:rFonts w:ascii="Book Antiqua" w:hAnsi="Book Antiqua"/>
          <w:sz w:val="28"/>
          <w:szCs w:val="28"/>
        </w:rPr>
      </w:pPr>
      <w:r>
        <w:rPr>
          <w:sz w:val="28"/>
          <w:szCs w:val="28"/>
        </w:rPr>
        <w:t>В случай, че някои от документите, посочени в този раздел, попадат в приложното й поле, те могат да бъдат предоставени съгласно изискванията на Конвенцията.</w:t>
      </w:r>
    </w:p>
    <w:p>
      <w:pPr>
        <w:pStyle w:val="Normal"/>
        <w:spacing w:before="0" w:after="234"/>
        <w:ind w:firstLine="710" w:left="28" w:right="35"/>
        <w:rPr>
          <w:rFonts w:ascii="Book Antiqua" w:hAnsi="Book Antiqua"/>
          <w:sz w:val="28"/>
          <w:szCs w:val="28"/>
        </w:rPr>
      </w:pPr>
      <w:r>
        <w:rPr>
          <w:sz w:val="28"/>
          <w:szCs w:val="28"/>
        </w:rPr>
        <w:t>Съгласно Конституцията на Република България, когато участник в търга е чужденец или чуждестранно юридическо лице от държава, която не е членка на Европейския съюз, или на държавите - страни по Споразумението за Европейското икономическо пространство и между държавата към която принадлежи и Република България няма сключен международен договор, ратифициран по реда на чл. 22, ал. 2 от Конституцията на Република България, същият няма право да придобива право на собственост върху земя на територията на Република България.</w:t>
      </w:r>
    </w:p>
    <w:p>
      <w:pPr>
        <w:pStyle w:val="Normal"/>
        <w:ind w:firstLine="710" w:left="28" w:right="35"/>
        <w:rPr/>
      </w:pPr>
      <w:r>
        <w:rPr>
          <w:sz w:val="28"/>
          <w:szCs w:val="28"/>
        </w:rPr>
        <w:t>3.1.5. Когато кандидат се представлява от пълномощник, освен съответните документи по т. 3.1.1-З.1.4 по-горе представя нотариално заверено изрично пълномощно за участие в търга чрез пълномощник.</w:t>
      </w:r>
    </w:p>
    <w:p>
      <w:pPr>
        <w:pStyle w:val="Normal"/>
        <w:ind w:firstLine="710" w:left="28" w:right="35"/>
        <w:rPr>
          <w:rFonts w:ascii="Book Antiqua" w:hAnsi="Book Antiqua"/>
          <w:sz w:val="28"/>
          <w:szCs w:val="28"/>
        </w:rPr>
      </w:pPr>
      <w:r>
        <w:rPr>
          <w:rFonts w:ascii="Book Antiqua" w:hAnsi="Book Antiqua"/>
          <w:sz w:val="28"/>
          <w:szCs w:val="28"/>
        </w:rPr>
      </w:r>
    </w:p>
    <w:p>
      <w:pPr>
        <w:pStyle w:val="Normal"/>
        <w:ind w:firstLine="710" w:left="28" w:right="35"/>
        <w:rPr>
          <w:rFonts w:ascii="Book Antiqua" w:hAnsi="Book Antiqua"/>
          <w:sz w:val="28"/>
          <w:szCs w:val="28"/>
        </w:rPr>
      </w:pPr>
      <w:r>
        <w:rPr>
          <w:rFonts w:ascii="Book Antiqua" w:hAnsi="Book Antiqua"/>
          <w:sz w:val="28"/>
          <w:szCs w:val="28"/>
        </w:rPr>
      </w:r>
    </w:p>
    <w:p>
      <w:pPr>
        <w:pStyle w:val="Normal"/>
        <w:ind w:firstLine="710" w:left="28" w:right="35"/>
        <w:rPr>
          <w:rFonts w:ascii="Book Antiqua" w:hAnsi="Book Antiqua"/>
          <w:sz w:val="28"/>
          <w:szCs w:val="28"/>
        </w:rPr>
      </w:pPr>
      <w:r>
        <w:rPr>
          <w:rFonts w:ascii="Book Antiqua" w:hAnsi="Book Antiqua"/>
          <w:sz w:val="28"/>
          <w:szCs w:val="28"/>
        </w:rPr>
      </w:r>
    </w:p>
    <w:p>
      <w:pPr>
        <w:pStyle w:val="Normal"/>
        <w:ind w:firstLine="710" w:left="28" w:right="35"/>
        <w:rPr>
          <w:rFonts w:ascii="Book Antiqua" w:hAnsi="Book Antiqua"/>
          <w:sz w:val="28"/>
          <w:szCs w:val="28"/>
        </w:rPr>
      </w:pPr>
      <w:r>
        <w:rPr>
          <w:rFonts w:ascii="Book Antiqua" w:hAnsi="Book Antiqua"/>
          <w:sz w:val="28"/>
          <w:szCs w:val="28"/>
        </w:rPr>
      </w:r>
    </w:p>
    <w:p>
      <w:pPr>
        <w:pStyle w:val="Normal"/>
        <w:spacing w:lineRule="auto" w:line="259" w:before="0" w:after="147"/>
        <w:ind w:hanging="10" w:left="46"/>
        <w:jc w:val="center"/>
        <w:rPr>
          <w:rFonts w:ascii="Times New Roman" w:hAnsi="Times New Roman"/>
        </w:rPr>
      </w:pPr>
      <w:r>
        <w:rPr>
          <w:sz w:val="28"/>
          <w:szCs w:val="28"/>
          <w:u w:val="single" w:color="000000"/>
        </w:rPr>
        <w:t>3.2. ДРУГИ ДОКУМЕНТИ</w:t>
      </w:r>
    </w:p>
    <w:p>
      <w:pPr>
        <w:pStyle w:val="Normal"/>
        <w:spacing w:lineRule="auto" w:line="259" w:before="0" w:after="147"/>
        <w:ind w:hanging="10" w:left="46"/>
        <w:jc w:val="center"/>
        <w:rPr>
          <w:rFonts w:ascii="Times New Roman" w:hAnsi="Times New Roman"/>
        </w:rPr>
      </w:pPr>
      <w:r>
        <w:rPr>
          <w:sz w:val="28"/>
          <w:szCs w:val="28"/>
          <w:u w:val="single" w:color="000000"/>
        </w:rPr>
        <w:t>СЪГЛАСНО ИЗИСКВАНИЯТА ЗА ДОПУСТИМОСТ</w:t>
      </w:r>
    </w:p>
    <w:p>
      <w:pPr>
        <w:pStyle w:val="Normal"/>
        <w:spacing w:lineRule="auto" w:line="240" w:before="0" w:after="238"/>
        <w:ind w:firstLine="710" w:left="28" w:right="35"/>
        <w:rPr>
          <w:rFonts w:ascii="Times New Roman" w:hAnsi="Times New Roman"/>
        </w:rPr>
      </w:pPr>
      <w:r>
        <w:rPr>
          <w:sz w:val="28"/>
          <w:szCs w:val="28"/>
        </w:rPr>
        <w:t>3.2.1. Декларация за получена задължителна информация - по Образец №1 или Образец № 1А.</w:t>
      </w:r>
    </w:p>
    <w:p>
      <w:pPr>
        <w:pStyle w:val="Normal"/>
        <w:spacing w:lineRule="auto" w:line="240" w:before="0" w:after="23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03"/>
        <w:ind w:hanging="0" w:left="756" w:right="35"/>
        <w:rPr>
          <w:rFonts w:ascii="Book Antiqua" w:hAnsi="Book Antiqua"/>
          <w:sz w:val="28"/>
          <w:szCs w:val="28"/>
        </w:rPr>
      </w:pPr>
      <w:r>
        <w:rPr>
          <w:sz w:val="28"/>
          <w:szCs w:val="28"/>
        </w:rPr>
        <w:t>3.2.2. Декларация за липса на конфликт на интереси - по Образец № 2.</w:t>
      </w:r>
    </w:p>
    <w:p>
      <w:pPr>
        <w:pStyle w:val="Normal"/>
        <w:spacing w:lineRule="auto" w:line="240" w:before="0" w:after="521"/>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r>
        <w:rPr>
          <w:sz w:val="28"/>
          <w:szCs w:val="28"/>
        </w:rPr>
        <mc:AlternateContent>
          <mc:Choice Requires="wpg">
            <w:drawing>
              <wp:inline distT="0" distB="0" distL="0" distR="0">
                <wp:extent cx="5479415" cy="25400"/>
                <wp:effectExtent l="0" t="0" r="0" b="0"/>
                <wp:docPr id="2" name="Shape1"/>
                <a:graphic xmlns:a="http://schemas.openxmlformats.org/drawingml/2006/main">
                  <a:graphicData uri="http://schemas.microsoft.com/office/word/2010/wordprocessingGroup">
                    <wpg:wgp>
                      <wpg:cNvGrpSpPr/>
                      <wpg:grpSpPr>
                        <a:xfrm>
                          <a:off x="0" y="0"/>
                          <a:ext cx="5479560" cy="25560"/>
                          <a:chOff x="0" y="0"/>
                          <a:chExt cx="5479560" cy="25560"/>
                        </a:xfrm>
                      </wpg:grpSpPr>
                      <wps:wsp>
                        <wps:cNvPr id="3" name=""/>
                        <wps:cNvSpPr/>
                        <wps:spPr>
                          <a:xfrm>
                            <a:off x="0" y="0"/>
                            <a:ext cx="5479560" cy="25560"/>
                          </a:xfrm>
                          <a:custGeom>
                            <a:avLst/>
                            <a:gdLst>
                              <a:gd name="textAreaLeft" fmla="*/ 0 w 3106440"/>
                              <a:gd name="textAreaRight" fmla="*/ 3107160 w 3106440"/>
                              <a:gd name="textAreaTop" fmla="*/ 0 h 14400"/>
                              <a:gd name="textAreaBottom" fmla="*/ 15120 h 14400"/>
                            </a:gdLst>
                            <a:ahLst/>
                            <a:rect l="textAreaLeft" t="textAreaTop" r="textAreaRight" b="textAreaBottom"/>
                            <a:pathLst>
                              <a:path w="5468113" h="13717">
                                <a:moveTo>
                                  <a:pt x="0" y="6858"/>
                                </a:moveTo>
                                <a:lnTo>
                                  <a:pt x="5468113" y="6858"/>
                                </a:lnTo>
                              </a:path>
                            </a:pathLst>
                          </a:custGeom>
                          <a:noFill/>
                          <a:ln w="14040">
                            <a:solidFill>
                              <a:srgbClr val="ffffff"/>
                            </a:solidFill>
                          </a:ln>
                        </wps:spPr>
                        <wps:style>
                          <a:lnRef idx="1"/>
                          <a:fillRef idx="0"/>
                          <a:effectRef idx="0"/>
                          <a:fontRef idx="minor"/>
                        </wps:style>
                        <wps:bodyPr/>
                      </wps:wsp>
                    </wpg:wgp>
                  </a:graphicData>
                </a:graphic>
              </wp:inline>
            </w:drawing>
          </mc:Choice>
          <mc:Fallback>
            <w:pict>
              <v:group id="shape_0" alt="Shape1" style="position:absolute;margin-left:0pt;margin-top:-2.05pt;width:431.45pt;height:2pt" coordorigin="0,-41" coordsize="8629,40"/>
            </w:pict>
          </mc:Fallback>
        </mc:AlternateContent>
      </w:r>
      <w:r>
        <w:rPr>
          <w:sz w:val="28"/>
          <w:szCs w:val="28"/>
        </w:rPr>
        <w:tab/>
        <w:t>3.2.3. Декларация по чл. 1, ал. 2 от ЗПСК - по Образец № З или Образец № ЗА.</w:t>
      </w:r>
    </w:p>
    <w:p>
      <w:pPr>
        <w:pStyle w:val="Normal"/>
        <w:spacing w:lineRule="auto" w:line="240" w:before="0" w:after="272"/>
        <w:ind w:firstLine="710" w:left="101" w:right="35"/>
        <w:rPr>
          <w:rFonts w:ascii="Book Antiqua" w:hAnsi="Book Antiqua"/>
          <w:sz w:val="28"/>
          <w:szCs w:val="28"/>
        </w:rPr>
      </w:pPr>
      <w:r>
        <w:rPr>
          <w:sz w:val="28"/>
          <w:szCs w:val="28"/>
        </w:rPr>
        <w:t>Декларацията Образец № З се попълва ако кандидатът  в търга е българско юридическо лице.</w:t>
      </w:r>
    </w:p>
    <w:p>
      <w:pPr>
        <w:pStyle w:val="Normal"/>
        <w:spacing w:lineRule="auto" w:line="240" w:before="0" w:after="278"/>
        <w:ind w:hanging="0" w:left="806" w:right="35"/>
        <w:rPr>
          <w:rFonts w:ascii="Book Antiqua" w:hAnsi="Book Antiqua"/>
          <w:sz w:val="28"/>
          <w:szCs w:val="28"/>
        </w:rPr>
      </w:pPr>
      <w:r>
        <w:rPr>
          <w:sz w:val="28"/>
          <w:szCs w:val="28"/>
        </w:rPr>
        <w:t>Останалите кандидати попълват Декларация Образец № ЗА.</w:t>
      </w:r>
    </w:p>
    <w:p>
      <w:pPr>
        <w:pStyle w:val="Normal"/>
        <w:spacing w:lineRule="auto" w:line="240" w:before="0" w:after="272"/>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76"/>
        <w:ind w:hanging="0" w:left="799" w:right="35"/>
        <w:rPr>
          <w:rFonts w:ascii="Book Antiqua" w:hAnsi="Book Antiqua"/>
          <w:sz w:val="28"/>
          <w:szCs w:val="28"/>
        </w:rPr>
      </w:pPr>
      <w:r>
        <w:rPr>
          <w:sz w:val="28"/>
          <w:szCs w:val="28"/>
        </w:rPr>
        <w:t>3.2.4. Декларация по чл. 7, ал. 2 от ЗПСК - по Образец № 4.</w:t>
      </w:r>
    </w:p>
    <w:p>
      <w:pPr>
        <w:pStyle w:val="Normal"/>
        <w:spacing w:lineRule="auto" w:line="240" w:before="0" w:after="281"/>
        <w:ind w:firstLine="710" w:left="28" w:right="35"/>
        <w:rPr>
          <w:rFonts w:ascii="Book Antiqua" w:hAnsi="Book Antiqua"/>
          <w:sz w:val="28"/>
          <w:szCs w:val="28"/>
        </w:rPr>
      </w:pPr>
      <w:r>
        <w:rPr>
          <w:sz w:val="28"/>
          <w:szCs w:val="28"/>
        </w:rPr>
        <w:t>Кандидатите в търга — физически лица и еднолични търговци декларират обстоятелствата по букви а) и б) от декларацията, а във всички останали случаи кандидатите в търга декларират всички обстоятелства.</w:t>
      </w:r>
    </w:p>
    <w:p>
      <w:pPr>
        <w:pStyle w:val="Normal"/>
        <w:spacing w:lineRule="auto" w:line="240" w:before="0" w:after="298"/>
        <w:ind w:firstLine="710" w:left="28" w:right="35"/>
        <w:rPr>
          <w:rFonts w:ascii="Book Antiqua" w:hAnsi="Book Antiqua"/>
          <w:sz w:val="28"/>
          <w:szCs w:val="28"/>
        </w:rPr>
      </w:pPr>
      <w:r>
        <w:rPr>
          <w:sz w:val="28"/>
          <w:szCs w:val="28"/>
        </w:rPr>
        <w:t>Когато кандидат в търга е лице, включено в списъка по Закона за информация относно необслужвани кредити (ЗИОНК), то следва да представи декларация, че е уредило задълженията си по необслужвани кредити (по смисъла на ЗИОНК), капо и да приложи документи, доказващи уреждане на задълженията му.</w:t>
      </w:r>
    </w:p>
    <w:p>
      <w:pPr>
        <w:pStyle w:val="Normal"/>
        <w:spacing w:lineRule="auto" w:line="240" w:before="0" w:after="294"/>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widowControl/>
        <w:bidi w:val="0"/>
        <w:spacing w:lineRule="auto" w:line="240" w:before="0" w:after="292"/>
        <w:ind w:hanging="0" w:left="0" w:right="57"/>
        <w:jc w:val="both"/>
        <w:rPr>
          <w:rFonts w:ascii="Times New Roman" w:hAnsi="Times New Roman"/>
        </w:rPr>
      </w:pPr>
      <w:r>
        <w:rPr>
          <w:sz w:val="28"/>
          <w:szCs w:val="28"/>
        </w:rPr>
        <w:tab/>
        <w:t>3.2.5. Декларация за съгласие за предоставяне на лични данни — по Образец № 5.</w:t>
      </w:r>
    </w:p>
    <w:p>
      <w:pPr>
        <w:pStyle w:val="Normal"/>
        <w:spacing w:lineRule="auto" w:line="240" w:before="0" w:after="26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543"/>
        <w:ind w:firstLine="710" w:left="28" w:right="35"/>
        <w:rPr>
          <w:rFonts w:ascii="Times New Roman" w:hAnsi="Times New Roman"/>
        </w:rPr>
      </w:pPr>
      <w:r>
        <w:rPr>
          <w:sz w:val="28"/>
          <w:szCs w:val="28"/>
        </w:rPr>
        <w:t>3.2.6. Декларация за удостоверяване липсата на просрочени публични задължения към българската държавата, установени с влязъл в сила акт — по Образец № 6.</w:t>
      </w:r>
    </w:p>
    <w:p>
      <w:pPr>
        <w:pStyle w:val="Normal"/>
        <w:spacing w:lineRule="auto" w:line="240" w:before="0" w:after="543"/>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296"/>
        <w:ind w:firstLine="710" w:left="28" w:right="35"/>
        <w:rPr>
          <w:rFonts w:ascii="Book Antiqua" w:hAnsi="Book Antiqua"/>
          <w:sz w:val="28"/>
          <w:szCs w:val="28"/>
        </w:rPr>
      </w:pPr>
      <w:r>
        <w:rPr>
          <w:sz w:val="28"/>
          <w:szCs w:val="28"/>
        </w:rPr>
        <w:t>3.2.7. Декларация по чл. 14, ал. 1, т. 4 от Наредбата за електронната платформа по Образец № 7.</w:t>
      </w:r>
    </w:p>
    <w:p>
      <w:pPr>
        <w:pStyle w:val="Normal"/>
        <w:spacing w:lineRule="auto" w:line="240" w:before="0" w:after="290"/>
        <w:ind w:firstLine="710" w:left="28" w:right="35"/>
        <w:rPr>
          <w:rFonts w:ascii="Book Antiqua" w:hAnsi="Book Antiqua"/>
          <w:sz w:val="28"/>
          <w:szCs w:val="28"/>
        </w:rPr>
      </w:pPr>
      <w:r>
        <w:rPr>
          <w:sz w:val="28"/>
          <w:szCs w:val="28"/>
        </w:rPr>
        <w:t>Кандидатите еднолични търговци  декларират обстоятелствата по букви а) и б) от декларацията, кандидатите юридически лица декларират всички обстоятелства, а кандидатите физически лица декларират обстоятелствата по буква б) от декларацията.</w:t>
      </w:r>
    </w:p>
    <w:p>
      <w:pPr>
        <w:pStyle w:val="Normal"/>
        <w:spacing w:lineRule="auto" w:line="240" w:before="0" w:after="297"/>
        <w:ind w:firstLine="710" w:left="28" w:right="35"/>
        <w:rPr>
          <w:rFonts w:ascii="Times New Roman" w:hAnsi="Times New Roman"/>
        </w:rPr>
      </w:pPr>
      <w:r>
        <w:rPr>
          <w:sz w:val="28"/>
          <w:szCs w:val="28"/>
        </w:rPr>
        <w:t>В случай, че кандидат в търга е чуждестранно лице, същото декларира обстоятелствата или сходни на тях обстоятелства/процедури уредени в действащото законодателство на държавата, в която кандидатът е регистриран, наред с тези по действащото българско законодателство.</w:t>
      </w:r>
    </w:p>
    <w:p>
      <w:pPr>
        <w:pStyle w:val="Normal"/>
        <w:spacing w:lineRule="auto" w:line="240" w:before="0" w:after="292"/>
        <w:ind w:firstLine="710" w:left="28" w:right="35"/>
        <w:rPr>
          <w:rFonts w:ascii="Book Antiqua" w:hAnsi="Book Antiqua"/>
          <w:sz w:val="28"/>
          <w:szCs w:val="28"/>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234"/>
        <w:ind w:hanging="10" w:left="10" w:right="50"/>
        <w:jc w:val="both"/>
        <w:rPr/>
      </w:pPr>
      <w:r>
        <w:rPr>
          <w:sz w:val="28"/>
          <w:szCs w:val="28"/>
        </w:rPr>
        <w:tab/>
        <w:tab/>
        <w:t xml:space="preserve">3.2.8 Декларация за съгласие с процедурата и проекта на договор - по Образец № 8. </w:t>
      </w:r>
      <w:r>
        <w:rPr/>
        <w:drawing>
          <wp:inline distT="0" distB="0" distL="0" distR="0">
            <wp:extent cx="14605" cy="14605"/>
            <wp:effectExtent l="0" t="0" r="0" b="0"/>
            <wp:docPr id="4" name="Picture 239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951" descr=""/>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28"/>
        <w:ind w:firstLine="710" w:left="28" w:right="35"/>
        <w:rPr>
          <w:rFonts w:ascii="Book Antiqua" w:hAnsi="Book Antiqua"/>
          <w:sz w:val="28"/>
          <w:szCs w:val="28"/>
        </w:rPr>
      </w:pPr>
      <w:r>
        <w:rPr>
          <w:sz w:val="28"/>
          <w:szCs w:val="28"/>
        </w:rPr>
        <w:t>3.2.9. Декларация по чл. 22 от Конституцията на Република България - по Образец № 9, Образец № 9А и Образец № 9Б.</w:t>
      </w:r>
    </w:p>
    <w:p>
      <w:pPr>
        <w:pStyle w:val="Normal"/>
        <w:spacing w:lineRule="auto" w:line="240" w:before="57" w:after="291"/>
        <w:ind w:firstLine="710" w:left="28" w:right="35"/>
        <w:rPr/>
      </w:pPr>
      <w:r>
        <w:rPr>
          <w:sz w:val="28"/>
          <w:szCs w:val="28"/>
        </w:rPr>
        <w:t>Декларацията Образец № 9 се попълва само от чужденец или чуждестранно юридическо лице от страна, която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57" w:after="288"/>
        <w:ind w:firstLine="710" w:left="28" w:right="35"/>
        <w:rPr/>
      </w:pPr>
      <w:r>
        <w:rPr>
          <w:sz w:val="28"/>
          <w:szCs w:val="28"/>
        </w:rPr>
        <w:t>Декларацията Образец № 9А се попълва само от чужденец или чуждестранно юридическо лице от страна, която не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0" w:after="229"/>
        <w:ind w:hanging="0" w:left="742" w:right="35"/>
        <w:rPr>
          <w:rFonts w:ascii="Book Antiqua" w:hAnsi="Book Antiqua"/>
          <w:sz w:val="28"/>
          <w:szCs w:val="28"/>
        </w:rPr>
      </w:pPr>
      <w:r>
        <w:rPr>
          <w:sz w:val="28"/>
          <w:szCs w:val="28"/>
        </w:rPr>
        <w:t>Останалите кандидати попълват Декларация Образец № 9 Б.</w:t>
      </w:r>
    </w:p>
    <w:p>
      <w:pPr>
        <w:pStyle w:val="Normal"/>
        <w:spacing w:lineRule="auto" w:line="240" w:before="0" w:after="116"/>
        <w:ind w:firstLine="710" w:left="28" w:right="35"/>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105"/>
        <w:ind w:hanging="10" w:left="10" w:right="50"/>
        <w:jc w:val="both"/>
        <w:rPr/>
      </w:pPr>
      <w:r>
        <w:rPr>
          <w:sz w:val="28"/>
          <w:szCs w:val="28"/>
        </w:rPr>
        <w:tab/>
        <w:tab/>
        <w:t>3.2.10. Декларация по чл. 59, ал. 1, т. З от ЗМИП — по Образец №10 или Образец № 10А.</w:t>
      </w:r>
    </w:p>
    <w:p>
      <w:pPr>
        <w:pStyle w:val="Normal"/>
        <w:widowControl/>
        <w:bidi w:val="0"/>
        <w:spacing w:lineRule="auto" w:line="240" w:before="0" w:after="68"/>
        <w:ind w:firstLine="680" w:left="57" w:right="57"/>
        <w:jc w:val="both"/>
        <w:rPr/>
      </w:pPr>
      <w:r>
        <w:rPr>
          <w:sz w:val="28"/>
          <w:szCs w:val="28"/>
        </w:rPr>
        <w:t>Декларацията Образец № 10 се попълва, ако кандидата в търга е юридическо лице.</w:t>
      </w:r>
    </w:p>
    <w:p>
      <w:pPr>
        <w:pStyle w:val="Normal"/>
        <w:spacing w:lineRule="auto" w:line="240" w:before="0" w:after="136"/>
        <w:ind w:firstLine="710" w:left="28" w:right="35"/>
        <w:rPr/>
      </w:pPr>
      <w:r>
        <w:rPr>
          <w:sz w:val="28"/>
          <w:szCs w:val="28"/>
        </w:rPr>
        <w:t>Декларацията се попълва и подписва на хартиен носител, след което се представя сканирана към документите.</w:t>
      </w:r>
    </w:p>
    <w:p>
      <w:pPr>
        <w:pStyle w:val="Normal"/>
        <w:spacing w:lineRule="auto" w:line="240" w:before="0" w:after="171"/>
        <w:ind w:firstLine="720" w:left="28"/>
        <w:rPr>
          <w:rFonts w:ascii="Book Antiqua" w:hAnsi="Book Antiqua"/>
          <w:sz w:val="28"/>
          <w:szCs w:val="28"/>
        </w:rPr>
      </w:pPr>
      <w:r>
        <w:rPr>
          <w:sz w:val="28"/>
          <w:szCs w:val="28"/>
        </w:rPr>
        <w:t>Същата се представя в оригинал преди подписване на договора съгласно т. 2 от Раздел Д.</w:t>
      </w:r>
    </w:p>
    <w:p>
      <w:pPr>
        <w:pStyle w:val="Normal"/>
        <w:widowControl/>
        <w:bidi w:val="0"/>
        <w:spacing w:lineRule="auto" w:line="240" w:before="0" w:after="178"/>
        <w:ind w:hanging="0" w:left="0" w:right="57"/>
        <w:jc w:val="both"/>
        <w:rPr/>
      </w:pPr>
      <w:r>
        <w:rPr>
          <w:sz w:val="28"/>
          <w:szCs w:val="28"/>
        </w:rPr>
        <w:tab/>
        <w:t>Останалите кандидати попълват Декларация Образец № 10А.</w:t>
      </w:r>
    </w:p>
    <w:p>
      <w:pPr>
        <w:pStyle w:val="Normal"/>
        <w:widowControl/>
        <w:bidi w:val="0"/>
        <w:spacing w:lineRule="auto" w:line="240" w:before="0" w:after="178"/>
        <w:ind w:hanging="0" w:left="0" w:right="57"/>
        <w:jc w:val="both"/>
        <w:rPr/>
      </w:pPr>
      <w:r>
        <w:rPr>
          <w:sz w:val="28"/>
          <w:szCs w:val="28"/>
        </w:rPr>
        <w:tab/>
      </w:r>
      <w:r>
        <w:rPr>
          <w:sz w:val="28"/>
          <w:szCs w:val="28"/>
          <w:u w:val="single"/>
        </w:rPr>
        <w:t>ЗАБЕЛЕЖКА</w:t>
      </w:r>
      <w:r>
        <w:rPr>
          <w:sz w:val="28"/>
          <w:szCs w:val="28"/>
        </w:rPr>
        <w:t>: Участниците могат сами да наберат текста на декларациите по образците от документацията, като въведат данните си и посочат точната дата на подписването.</w:t>
      </w:r>
    </w:p>
    <w:p>
      <w:pPr>
        <w:pStyle w:val="Normal"/>
        <w:spacing w:lineRule="auto" w:line="240" w:before="0" w:after="64"/>
        <w:ind w:hanging="0" w:left="756" w:right="35"/>
        <w:rPr>
          <w:rFonts w:ascii="Book Antiqua" w:hAnsi="Book Antiqua"/>
          <w:sz w:val="28"/>
          <w:szCs w:val="28"/>
        </w:rPr>
      </w:pPr>
      <w:r>
        <w:rPr>
          <w:rFonts w:ascii="Book Antiqua" w:hAnsi="Book Antiqua"/>
          <w:sz w:val="28"/>
          <w:szCs w:val="28"/>
        </w:rPr>
      </w:r>
    </w:p>
    <w:p>
      <w:pPr>
        <w:pStyle w:val="Normal"/>
        <w:widowControl/>
        <w:bidi w:val="0"/>
        <w:spacing w:lineRule="auto" w:line="252" w:before="0" w:after="177"/>
        <w:ind w:hanging="0" w:left="0" w:right="0"/>
        <w:jc w:val="center"/>
        <w:rPr>
          <w:rFonts w:ascii="Times New Roman" w:hAnsi="Times New Roman"/>
        </w:rPr>
      </w:pPr>
      <w:r>
        <w:rPr>
          <w:sz w:val="28"/>
          <w:szCs w:val="28"/>
        </w:rPr>
        <w:tab/>
        <w:t xml:space="preserve">4. </w:t>
      </w:r>
      <w:r>
        <w:rPr>
          <w:sz w:val="28"/>
          <w:szCs w:val="28"/>
          <w:u w:val="single" w:color="000000"/>
        </w:rPr>
        <w:t xml:space="preserve">УКАЗАНИЯ ЗА ПРЕДСТАВЯНЕТО НА ДОКУМЕНТИ ЗА </w:t>
      </w:r>
      <w:r>
        <w:rPr>
          <w:sz w:val="28"/>
          <w:szCs w:val="28"/>
          <w:u w:val="none" w:color="000000"/>
        </w:rPr>
        <w:tab/>
      </w:r>
      <w:r>
        <w:rPr>
          <w:sz w:val="28"/>
          <w:szCs w:val="28"/>
          <w:u w:val="single" w:color="000000"/>
        </w:rPr>
        <w:t>ДОПУСКАНЕ ДО ЕЛЕКТРОНЕН ТЪРГ</w:t>
      </w:r>
    </w:p>
    <w:p>
      <w:pPr>
        <w:pStyle w:val="Normal"/>
        <w:ind w:firstLine="710" w:left="28" w:right="35"/>
        <w:rPr>
          <w:rFonts w:ascii="Book Antiqua" w:hAnsi="Book Antiqua"/>
          <w:sz w:val="28"/>
          <w:szCs w:val="28"/>
        </w:rPr>
      </w:pPr>
      <w:r>
        <w:rPr>
          <w:sz w:val="28"/>
          <w:szCs w:val="28"/>
        </w:rPr>
        <w:t>Документите за допускане до търг се подават чрез платформата при спазване на изискванията, поставени от АППК и съобразно указанията за работа със системата.</w:t>
      </w:r>
    </w:p>
    <w:p>
      <w:pPr>
        <w:pStyle w:val="Normal"/>
        <w:ind w:firstLine="710" w:left="28" w:right="35"/>
        <w:rPr/>
      </w:pPr>
      <w:r>
        <w:rPr>
          <w:sz w:val="28"/>
          <w:szCs w:val="28"/>
        </w:rPr>
        <w:t>Всички изискуеми за участие в търга документи се представят подписани с квалифициран електронен подпис /КЕП/ от кандидата, или подписани извън платформата - в сканиран вид, като след подписването съответно прикачването на подписаните собственоръчно декларации, целият пакет документи се подписва лично от кандидата или съответно от неговия пълномощник с КЕП.</w:t>
      </w:r>
    </w:p>
    <w:p>
      <w:pPr>
        <w:pStyle w:val="Normal"/>
        <w:ind w:firstLine="710" w:left="28" w:right="35"/>
        <w:rPr>
          <w:rFonts w:ascii="Book Antiqua" w:hAnsi="Book Antiqua"/>
          <w:sz w:val="28"/>
          <w:szCs w:val="28"/>
        </w:rPr>
      </w:pPr>
      <w:r>
        <w:rPr>
          <w:sz w:val="28"/>
          <w:szCs w:val="28"/>
        </w:rPr>
        <w:t>Подписването и подаването на електронни документи от кандидатите се извършва с КЕП, който трябва да бъде издаден от лицензиран в Република България доставчик на удостоверителни услуги, като:</w:t>
      </w:r>
    </w:p>
    <w:p>
      <w:pPr>
        <w:pStyle w:val="Normal"/>
        <w:numPr>
          <w:ilvl w:val="0"/>
          <w:numId w:val="5"/>
        </w:numPr>
        <w:ind w:hanging="360" w:left="28" w:right="35"/>
        <w:rPr>
          <w:rFonts w:ascii="Times New Roman" w:hAnsi="Times New Roman"/>
        </w:rPr>
      </w:pPr>
      <w:r>
        <w:rPr>
          <w:sz w:val="28"/>
          <w:szCs w:val="28"/>
        </w:rPr>
        <w:t>за физическо лице в КЕП трябва да бъде вписан единен граждански номер на лицето, съответно личен номер на чужденеца или други индивидуализиращи данни за чуждестранното лице;</w:t>
      </w:r>
    </w:p>
    <w:p>
      <w:pPr>
        <w:pStyle w:val="Normal"/>
        <w:numPr>
          <w:ilvl w:val="0"/>
          <w:numId w:val="5"/>
        </w:numPr>
        <w:ind w:hanging="360" w:left="28" w:right="35"/>
        <w:rPr>
          <w:rFonts w:ascii="Book Antiqua" w:hAnsi="Book Antiqua"/>
          <w:sz w:val="28"/>
          <w:szCs w:val="28"/>
        </w:rPr>
      </w:pPr>
      <w:r>
        <w:rPr>
          <w:sz w:val="28"/>
          <w:szCs w:val="28"/>
        </w:rPr>
        <w:t>за юридическо лице в КЕП като титуляр трябва да бъде вписан Единен идентификационен код на юридическото лице и данни за законния му представител</w:t>
      </w:r>
    </w:p>
    <w:p>
      <w:pPr>
        <w:pStyle w:val="Normal"/>
        <w:spacing w:before="0" w:after="281"/>
        <w:ind w:firstLine="710" w:left="28" w:right="35"/>
        <w:rPr/>
      </w:pPr>
      <w:r>
        <w:rPr>
          <w:sz w:val="28"/>
          <w:szCs w:val="28"/>
        </w:rPr>
        <w:t>В случаите на представителство по упълномощаване в електронен търг пълномощникът се идентифицира и подписва с личен  КЕП, от който трябва да е установимо упълномощеното лице, което да съвпада с данните в представеното пълномощно.</w:t>
      </w:r>
    </w:p>
    <w:p>
      <w:pPr>
        <w:pStyle w:val="Normal"/>
        <w:spacing w:before="0" w:after="211"/>
        <w:ind w:firstLine="710" w:left="28" w:right="35"/>
        <w:rPr>
          <w:rFonts w:ascii="Book Antiqua" w:hAnsi="Book Antiqua"/>
          <w:sz w:val="28"/>
          <w:szCs w:val="28"/>
        </w:rPr>
      </w:pPr>
      <w:r>
        <w:rPr>
          <w:sz w:val="28"/>
          <w:szCs w:val="28"/>
        </w:rPr>
        <w:t>За представяне на електронни документи, включително създадени или изпратени чрез платформата, се прилага чл. 184, ал. 1 от Гражданския процесуален кодекс.</w:t>
      </w:r>
    </w:p>
    <w:p>
      <w:pPr>
        <w:pStyle w:val="Normal"/>
        <w:spacing w:before="0" w:after="239"/>
        <w:ind w:firstLine="710" w:left="28" w:right="35"/>
        <w:rPr>
          <w:rFonts w:ascii="Book Antiqua" w:hAnsi="Book Antiqua"/>
          <w:sz w:val="28"/>
          <w:szCs w:val="28"/>
        </w:rPr>
      </w:pPr>
      <w:r>
        <w:rPr>
          <w:sz w:val="28"/>
          <w:szCs w:val="28"/>
        </w:rPr>
        <w:t>Кандидатите и участниците в процедурите за електронни търгове носят отговорност за достоверността, актуалността и пълнотата на въведената от тях информация в платформата, както и за спазването на сроковете, съобразно тяхната компетентност.</w:t>
      </w:r>
    </w:p>
    <w:p>
      <w:pPr>
        <w:pStyle w:val="Normal"/>
        <w:spacing w:before="0" w:after="476"/>
        <w:ind w:firstLine="710" w:left="28" w:right="35"/>
        <w:rPr>
          <w:rFonts w:ascii="Book Antiqua" w:hAnsi="Book Antiqua"/>
          <w:sz w:val="28"/>
          <w:szCs w:val="28"/>
        </w:rPr>
      </w:pPr>
      <w:r>
        <w:rPr>
          <w:sz w:val="28"/>
          <w:szCs w:val="28"/>
        </w:rPr>
        <w:t>Кандидатите могат да променят представени от тях документи до изтичане на срока за Регистрация за участие в тьрга.</w:t>
      </w:r>
    </w:p>
    <w:p>
      <w:pPr>
        <w:pStyle w:val="Normal"/>
        <w:widowControl/>
        <w:bidi w:val="0"/>
        <w:spacing w:lineRule="auto" w:line="252" w:before="0" w:after="187"/>
        <w:ind w:hanging="0" w:left="0" w:right="0"/>
        <w:jc w:val="center"/>
        <w:rPr>
          <w:rFonts w:ascii="Times New Roman" w:hAnsi="Times New Roman"/>
        </w:rPr>
      </w:pPr>
      <w:r>
        <w:rPr>
          <w:sz w:val="28"/>
          <w:szCs w:val="28"/>
          <w:u w:val="single" w:color="000000"/>
        </w:rPr>
        <w:t>РАЗДЕЛ Б</w:t>
      </w:r>
    </w:p>
    <w:p>
      <w:pPr>
        <w:pStyle w:val="Normal"/>
        <w:widowControl/>
        <w:bidi w:val="0"/>
        <w:spacing w:lineRule="auto" w:line="264" w:before="0" w:after="469"/>
        <w:ind w:hanging="0" w:left="0" w:right="0"/>
        <w:jc w:val="center"/>
        <w:rPr>
          <w:rFonts w:ascii="Times New Roman" w:hAnsi="Times New Roman"/>
        </w:rPr>
      </w:pPr>
      <w:r>
        <w:rPr>
          <w:sz w:val="28"/>
          <w:szCs w:val="28"/>
          <w:u w:val="none" w:color="000000"/>
        </w:rPr>
        <w:t>УКАЗАНИЯ ПО ОРГАНИЗАЦИЯТА И ПРОВЕЖДАНЕТО НА ТЪРГА</w:t>
      </w:r>
    </w:p>
    <w:p>
      <w:pPr>
        <w:pStyle w:val="Normal"/>
        <w:numPr>
          <w:ilvl w:val="0"/>
          <w:numId w:val="6"/>
        </w:numPr>
        <w:spacing w:before="0" w:after="29"/>
        <w:ind w:hanging="360" w:left="28" w:right="35"/>
        <w:rPr>
          <w:rFonts w:ascii="Book Antiqua" w:hAnsi="Book Antiqua"/>
          <w:sz w:val="28"/>
          <w:szCs w:val="28"/>
        </w:rPr>
      </w:pPr>
      <w:r>
        <w:rPr>
          <w:sz w:val="28"/>
          <w:szCs w:val="28"/>
        </w:rPr>
        <w:t>За получаване на достъп до информационния меморандум на имота се изисква регистрация в платформата. Регистрацията в платформата се извършва с КЕП, като се попълват всички изискуеми от платформата данни, които не могат да бъдат извлечени от КЕП.</w:t>
      </w:r>
    </w:p>
    <w:p>
      <w:pPr>
        <w:pStyle w:val="Normal"/>
        <w:numPr>
          <w:ilvl w:val="0"/>
          <w:numId w:val="6"/>
        </w:numPr>
        <w:ind w:hanging="360" w:left="28" w:right="35"/>
        <w:rPr>
          <w:rFonts w:ascii="Times New Roman" w:hAnsi="Times New Roman"/>
        </w:rPr>
      </w:pPr>
      <w:r>
        <w:rPr>
          <w:sz w:val="28"/>
          <w:szCs w:val="28"/>
        </w:rPr>
        <w:t>Регистриран по т. 1 кандидат получава достъп до информационния меморандум на имота.</w:t>
      </w:r>
    </w:p>
    <w:p>
      <w:pPr>
        <w:pStyle w:val="Normal"/>
        <w:numPr>
          <w:ilvl w:val="0"/>
          <w:numId w:val="6"/>
        </w:numPr>
        <w:ind w:hanging="360" w:left="28" w:right="35"/>
        <w:rPr>
          <w:rFonts w:ascii="Times New Roman" w:hAnsi="Times New Roman"/>
        </w:rPr>
      </w:pPr>
      <w:r>
        <w:rPr>
          <w:sz w:val="28"/>
          <w:szCs w:val="28"/>
        </w:rPr>
        <w:t>Регистриран по т. 1 кандидат може да участва в настоящия търг чрез подаване на изискуемите документи за допускане до търга съгласно Раздел „А“ от настоящите правила и ЧАСТ П от тръжната документация. С подаването на документите кандидатът е ИЗВЪРШИЛ Регистрация за участие в търга.</w:t>
      </w:r>
    </w:p>
    <w:p>
      <w:pPr>
        <w:pStyle w:val="Normal"/>
        <w:numPr>
          <w:ilvl w:val="0"/>
          <w:numId w:val="7"/>
        </w:numPr>
        <w:ind w:hanging="360" w:left="28" w:right="35"/>
        <w:rPr>
          <w:rFonts w:ascii="Times New Roman" w:hAnsi="Times New Roman"/>
        </w:rPr>
      </w:pPr>
      <w:r>
        <w:rPr>
          <w:sz w:val="28"/>
          <w:szCs w:val="28"/>
        </w:rPr>
        <w:t>От регистрацията по т. З на първия кандидат за търга започва да тече срок от 12 (дванадесет) работни дни, изтичащ в 23:59 часа на последния ден, в който срок всяко лице може да се регистрира като кандидат в същия търг с подаването на изискуемите документи за допускане до участие в търга. Моментът, от който се определя този срок, се оповестява в платформата. До изтичане на срока по изречение първо, всеки кандидат има право да се откаже от регистрацията си, като при отказ на първия регистрирал се кандидат, срокът е валидно започнал и продължава да тече по отношение на останалите кандидати.</w:t>
      </w:r>
    </w:p>
    <w:p>
      <w:pPr>
        <w:pStyle w:val="Normal"/>
        <w:numPr>
          <w:ilvl w:val="0"/>
          <w:numId w:val="7"/>
        </w:numPr>
        <w:ind w:hanging="360" w:left="28" w:right="35"/>
        <w:rPr>
          <w:rFonts w:ascii="Times New Roman" w:hAnsi="Times New Roman"/>
        </w:rPr>
      </w:pPr>
      <w:r>
        <w:rPr>
          <w:sz w:val="28"/>
          <w:szCs w:val="28"/>
        </w:rPr>
        <w:t>Когато лице предвижда да участва в търга чрез пълномощник, следва да посочи това обстоятелство по указания от електронната платформа и АППК начин, и да представи към документите изрично нотариално заверено пълномощно за участието в конкретния търг.</w:t>
      </w:r>
      <w:r>
        <w:rPr/>
        <w:drawing>
          <wp:inline distT="0" distB="0" distL="0" distR="0">
            <wp:extent cx="31750" cy="45720"/>
            <wp:effectExtent l="0" t="0" r="0" b="0"/>
            <wp:docPr id="5" name="Picture 84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410" descr=""/>
                    <pic:cNvPicPr>
                      <a:picLocks noChangeAspect="1" noChangeArrowheads="1"/>
                    </pic:cNvPicPr>
                  </pic:nvPicPr>
                  <pic:blipFill>
                    <a:blip r:embed="rId4"/>
                    <a:stretch>
                      <a:fillRect/>
                    </a:stretch>
                  </pic:blipFill>
                  <pic:spPr bwMode="auto">
                    <a:xfrm>
                      <a:off x="0" y="0"/>
                      <a:ext cx="31750" cy="45720"/>
                    </a:xfrm>
                    <a:prstGeom prst="rect">
                      <a:avLst/>
                    </a:prstGeom>
                  </pic:spPr>
                </pic:pic>
              </a:graphicData>
            </a:graphic>
          </wp:inline>
        </w:drawing>
      </w:r>
    </w:p>
    <w:p>
      <w:pPr>
        <w:pStyle w:val="Normal"/>
        <w:numPr>
          <w:ilvl w:val="0"/>
          <w:numId w:val="7"/>
        </w:numPr>
        <w:ind w:hanging="360" w:left="28" w:right="35"/>
        <w:rPr/>
      </w:pPr>
      <w:r>
        <w:rPr>
          <w:sz w:val="28"/>
          <w:szCs w:val="28"/>
        </w:rPr>
        <w:t>За провеждането на електронния търг чрез електронната платформа се назначава тръжна комисия.</w:t>
      </w:r>
    </w:p>
    <w:p>
      <w:pPr>
        <w:pStyle w:val="Normal"/>
        <w:numPr>
          <w:ilvl w:val="0"/>
          <w:numId w:val="7"/>
        </w:numPr>
        <w:ind w:hanging="360" w:left="28" w:right="35"/>
        <w:rPr>
          <w:rFonts w:ascii="Book Antiqua" w:hAnsi="Book Antiqua"/>
          <w:sz w:val="28"/>
          <w:szCs w:val="28"/>
        </w:rPr>
      </w:pPr>
      <w:r>
        <w:rPr>
          <w:sz w:val="28"/>
          <w:szCs w:val="28"/>
        </w:rPr>
        <w:t>Тръжната комисия разглежда документите на регистрираните за търга по т.т. З и 4 кандидати най-рано в първия работен ден след изтичане на срока за регистрация от 12 (дванадесет) работни дни и се произнася за допускането или недопускането на всеки от тях до участие до края на работния ден, предхождащ деня на търга.</w:t>
      </w:r>
    </w:p>
    <w:p>
      <w:pPr>
        <w:pStyle w:val="Normal"/>
        <w:numPr>
          <w:ilvl w:val="0"/>
          <w:numId w:val="7"/>
        </w:numPr>
        <w:ind w:hanging="360" w:left="28" w:right="35"/>
        <w:rPr>
          <w:rFonts w:ascii="Book Antiqua" w:hAnsi="Book Antiqua"/>
          <w:sz w:val="28"/>
          <w:szCs w:val="28"/>
        </w:rPr>
      </w:pPr>
      <w:r>
        <w:rPr>
          <w:sz w:val="28"/>
          <w:szCs w:val="28"/>
        </w:rPr>
        <w:t>За допускането или отстраняването на всеки кандидат членовете на комисията се произнасят поотделно, а председателят отразява в системата решението на комисията.</w:t>
      </w:r>
    </w:p>
    <w:p>
      <w:pPr>
        <w:pStyle w:val="Normal"/>
        <w:numPr>
          <w:ilvl w:val="0"/>
          <w:numId w:val="7"/>
        </w:numPr>
        <w:spacing w:before="0" w:after="46"/>
        <w:ind w:hanging="360" w:left="28" w:right="35"/>
        <w:rPr>
          <w:rFonts w:ascii="Times New Roman" w:hAnsi="Times New Roman"/>
        </w:rPr>
      </w:pPr>
      <w:r>
        <w:rPr>
          <w:sz w:val="28"/>
          <w:szCs w:val="28"/>
        </w:rPr>
        <w:t>Платформата изпраща уведомление до всеки кандидат в търга на електронния адрес, посочен в КЕП, с който е регистриран, най-лесно до края на работния ден преди деня на провеждане на тръжното наддаване, като на недопуснатите кандидати се съобщават и причините за това.</w:t>
      </w:r>
    </w:p>
    <w:p>
      <w:pPr>
        <w:pStyle w:val="Normal"/>
        <w:numPr>
          <w:ilvl w:val="0"/>
          <w:numId w:val="7"/>
        </w:numPr>
        <w:spacing w:before="0" w:after="46"/>
        <w:ind w:hanging="360" w:left="28" w:right="35"/>
        <w:rPr>
          <w:rFonts w:ascii="Book Antiqua" w:hAnsi="Book Antiqua"/>
          <w:sz w:val="28"/>
          <w:szCs w:val="28"/>
        </w:rPr>
      </w:pPr>
      <w:r>
        <w:rPr>
          <w:sz w:val="28"/>
          <w:szCs w:val="28"/>
        </w:rPr>
        <w:t xml:space="preserve"> </w:t>
      </w:r>
      <w:r>
        <w:rPr>
          <w:sz w:val="28"/>
          <w:szCs w:val="28"/>
        </w:rPr>
        <w:t>Всеки допуснат до участие в търга кандидат получава генериран от електронната платформа УИК за участие в търга най-лесно в последния работен ден преди деня на търга чрез съобщение на електронния адрес, посочен в КЕП, с който е регистриран.</w:t>
      </w:r>
    </w:p>
    <w:p>
      <w:pPr>
        <w:pStyle w:val="Normal"/>
        <w:numPr>
          <w:ilvl w:val="0"/>
          <w:numId w:val="7"/>
        </w:numPr>
        <w:spacing w:before="0" w:after="27"/>
        <w:ind w:hanging="360" w:left="28" w:right="35"/>
        <w:rPr>
          <w:rFonts w:ascii="Book Antiqua" w:hAnsi="Book Antiqua"/>
          <w:sz w:val="28"/>
          <w:szCs w:val="28"/>
        </w:rPr>
      </w:pPr>
      <w:r>
        <w:rPr>
          <w:sz w:val="28"/>
          <w:szCs w:val="28"/>
        </w:rPr>
        <w:t xml:space="preserve"> </w:t>
      </w:r>
      <w:r>
        <w:rPr>
          <w:sz w:val="28"/>
          <w:szCs w:val="28"/>
        </w:rPr>
        <w:t>За да се оторизира като участник в търга всеки кандидат, получил УИК, трябва да го въведе в системата в рамките на наддавателния времеви интервал в деня за провеждане на наддаването.</w:t>
      </w:r>
    </w:p>
    <w:p>
      <w:pPr>
        <w:pStyle w:val="Normal"/>
        <w:numPr>
          <w:ilvl w:val="0"/>
          <w:numId w:val="7"/>
        </w:numPr>
        <w:spacing w:before="0" w:after="54"/>
        <w:ind w:hanging="360" w:left="28" w:right="35"/>
        <w:rPr>
          <w:rFonts w:ascii="Book Antiqua" w:hAnsi="Book Antiqua"/>
          <w:sz w:val="28"/>
          <w:szCs w:val="28"/>
        </w:rPr>
      </w:pPr>
      <w:r>
        <w:rPr>
          <w:sz w:val="28"/>
          <w:szCs w:val="28"/>
        </w:rPr>
        <w:t xml:space="preserve"> </w:t>
      </w:r>
      <w:r>
        <w:rPr>
          <w:sz w:val="28"/>
          <w:szCs w:val="28"/>
        </w:rPr>
        <w:t>С оторизацията си участникът се съгласява автоматично с началната тръжна цена.</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Електронният търг се провежда на петнадесетия работен ден след деня на регистрацията по т. З на първия кандидат, като започва в обявения начален час и наддаването продължава 30 (тридесет) минути.</w:t>
      </w:r>
    </w:p>
    <w:p>
      <w:pPr>
        <w:pStyle w:val="Normal"/>
        <w:numPr>
          <w:ilvl w:val="0"/>
          <w:numId w:val="7"/>
        </w:numPr>
        <w:spacing w:before="0" w:after="45"/>
        <w:ind w:hanging="360" w:left="28" w:right="35"/>
        <w:rPr>
          <w:rFonts w:ascii="Book Antiqua" w:hAnsi="Book Antiqua"/>
          <w:sz w:val="28"/>
          <w:szCs w:val="28"/>
        </w:rPr>
      </w:pPr>
      <w:r>
        <w:rPr>
          <w:sz w:val="28"/>
          <w:szCs w:val="28"/>
        </w:rPr>
        <w:t xml:space="preserve"> </w:t>
      </w:r>
      <w:r>
        <w:rPr>
          <w:sz w:val="28"/>
          <w:szCs w:val="28"/>
        </w:rPr>
        <w:t>Наддавателни предложения могат да правят само участници, които са се оторизирали съгласно т. 1 1</w:t>
      </w:r>
      <w:r>
        <w:rPr/>
        <w:drawing>
          <wp:inline distT="0" distB="0" distL="0" distR="0">
            <wp:extent cx="14605" cy="18415"/>
            <wp:effectExtent l="0" t="0" r="0" b="0"/>
            <wp:docPr id="6" name="Picture 344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4499" descr=""/>
                    <pic:cNvPicPr>
                      <a:picLocks noChangeAspect="1" noChangeArrowheads="1"/>
                    </pic:cNvPicPr>
                  </pic:nvPicPr>
                  <pic:blipFill>
                    <a:blip r:embed="rId5"/>
                    <a:stretch>
                      <a:fillRect/>
                    </a:stretch>
                  </pic:blipFill>
                  <pic:spPr bwMode="auto">
                    <a:xfrm>
                      <a:off x="0" y="0"/>
                      <a:ext cx="14605" cy="18415"/>
                    </a:xfrm>
                    <a:prstGeom prst="rect">
                      <a:avLst/>
                    </a:prstGeom>
                  </pic:spPr>
                </pic:pic>
              </a:graphicData>
            </a:graphic>
          </wp:inline>
        </w:drawing>
      </w:r>
    </w:p>
    <w:p>
      <w:pPr>
        <w:pStyle w:val="Normal"/>
        <w:numPr>
          <w:ilvl w:val="0"/>
          <w:numId w:val="7"/>
        </w:numPr>
        <w:spacing w:lineRule="auto" w:line="264" w:before="0" w:after="0"/>
        <w:ind w:hanging="360" w:left="28" w:right="35"/>
        <w:rPr>
          <w:rFonts w:ascii="Times New Roman" w:hAnsi="Times New Roman"/>
        </w:rPr>
      </w:pPr>
      <w:r>
        <w:rPr>
          <w:sz w:val="28"/>
          <w:szCs w:val="28"/>
        </w:rPr>
        <w:t xml:space="preserve"> </w:t>
      </w:r>
      <w:r>
        <w:rPr>
          <w:sz w:val="28"/>
          <w:szCs w:val="28"/>
        </w:rPr>
        <w:t>Търг се провежда и ако има един оторизирал се участник съгласно т.11.</w:t>
      </w:r>
      <w:r>
        <w:rPr/>
        <w:drawing>
          <wp:inline distT="0" distB="0" distL="0" distR="0">
            <wp:extent cx="14605" cy="14605"/>
            <wp:effectExtent l="0" t="0" r="0" b="0"/>
            <wp:docPr id="7" name="Picture 345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500" descr=""/>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p>
    <w:p>
      <w:pPr>
        <w:pStyle w:val="Normal"/>
        <w:numPr>
          <w:ilvl w:val="0"/>
          <w:numId w:val="7"/>
        </w:numPr>
        <w:ind w:hanging="360" w:left="28" w:right="35"/>
        <w:rPr>
          <w:rFonts w:ascii="Times New Roman" w:hAnsi="Times New Roman"/>
        </w:rPr>
      </w:pPr>
      <w:r>
        <w:rPr>
          <w:sz w:val="28"/>
          <w:szCs w:val="28"/>
        </w:rPr>
        <w:t xml:space="preserve"> </w:t>
      </w:r>
      <w:r>
        <w:rPr>
          <w:sz w:val="28"/>
          <w:szCs w:val="28"/>
        </w:rPr>
        <w:t>Когато има един оторизирал се участник, той трябва да предложи една стъпка за наддаване над началната цена, за да бъде определен за купувач, в противен случай търгьт е непроведен и внесеният депозит за участие се задържа.</w:t>
      </w:r>
    </w:p>
    <w:p>
      <w:pPr>
        <w:pStyle w:val="Normal"/>
        <w:numPr>
          <w:ilvl w:val="0"/>
          <w:numId w:val="7"/>
        </w:numPr>
        <w:spacing w:before="0" w:after="29"/>
        <w:ind w:hanging="360" w:left="28" w:right="35"/>
        <w:rPr>
          <w:rFonts w:ascii="Book Antiqua" w:hAnsi="Book Antiqua"/>
          <w:sz w:val="28"/>
          <w:szCs w:val="28"/>
        </w:rPr>
      </w:pPr>
      <w:r>
        <w:rPr>
          <w:sz w:val="28"/>
          <w:szCs w:val="28"/>
        </w:rPr>
        <w:t xml:space="preserve"> </w:t>
      </w:r>
      <w:r>
        <w:rPr>
          <w:sz w:val="28"/>
          <w:szCs w:val="28"/>
        </w:rPr>
        <w:t>В случай че никой от оторизиралите се участници не обяви по-висока от началната цена с една стъпка, търгът се обявява за закрит и внесените депозити за участие се задържат.</w:t>
      </w:r>
    </w:p>
    <w:p>
      <w:pPr>
        <w:pStyle w:val="Normal"/>
        <w:numPr>
          <w:ilvl w:val="0"/>
          <w:numId w:val="7"/>
        </w:numPr>
        <w:spacing w:before="0" w:after="47"/>
        <w:ind w:hanging="360" w:left="28" w:right="35"/>
        <w:rPr>
          <w:rFonts w:ascii="Times New Roman" w:hAnsi="Times New Roman"/>
        </w:rPr>
      </w:pPr>
      <w:r>
        <w:rPr>
          <w:sz w:val="28"/>
          <w:szCs w:val="28"/>
        </w:rPr>
        <w:t xml:space="preserve"> </w:t>
      </w:r>
      <w:r>
        <w:rPr>
          <w:sz w:val="28"/>
          <w:szCs w:val="28"/>
        </w:rPr>
        <w:t>Когато до крайния срок за валидност на търга няма регистриран кандидат, или нито един кандидат не бъде допуснат до участие, или никой не се е оторизирал, търгът е непроведен.</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Наддаването се извършва само чрез платформата с обявената стъпка на наддаване, като участниците потвърждават последователни суми, посочени автоматично, всяка от които е по-висока от предходната, потвърдена от друг участник, с една стъпка на наддаване.</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Всеки участник в търга получава информация в платформата за достигнатите цени, без данни за останалите участници и техния брой.</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приключва с изтичането на времевия интервал от един астрономически час. В случай, че в последните 60 (шестдесет) секунди от времевия интервал постъпи наддавателно предложение, срокът за приключване на търга автоматично се удължава с 5 (пет) минути еднократно, като платформата визуализира това и оставащото време на участниците. Срокът за приключване на търга се удължава автоматично и многократно с 5 минути във всички случаи, когато в последните 60 секунди от времевия интервал от 5 минути постъпи наддавателно предложение.</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В случай че никой от участниците в търга не потвърди цена, която е по-висока с една стъпка на наддаване от последната достигната цена, платформата съобщава, че е най-висока и при липса на предложение визуализира край на наддаването.</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С изтичането на срока по т. 13, съответно по т. 21, електронната платформа посочва участника, предложил най-високата цена и този, предложил втора по размер цена, когато има такъв.</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завършва с решение на Управителя за:</w:t>
      </w:r>
    </w:p>
    <w:p>
      <w:pPr>
        <w:pStyle w:val="Normal"/>
        <w:numPr>
          <w:ilvl w:val="1"/>
          <w:numId w:val="7"/>
        </w:numPr>
        <w:spacing w:lineRule="auto" w:line="264" w:before="0" w:after="0"/>
        <w:ind w:hanging="360" w:left="381" w:right="18"/>
        <w:jc w:val="left"/>
        <w:rPr>
          <w:rFonts w:ascii="Book Antiqua" w:hAnsi="Book Antiqua"/>
          <w:sz w:val="28"/>
          <w:szCs w:val="28"/>
        </w:rPr>
      </w:pPr>
      <w:r>
        <w:rPr>
          <w:sz w:val="28"/>
          <w:szCs w:val="28"/>
        </w:rPr>
        <w:t>определяне на купувач, или</w:t>
      </w:r>
    </w:p>
    <w:p>
      <w:pPr>
        <w:pStyle w:val="Normal"/>
        <w:numPr>
          <w:ilvl w:val="1"/>
          <w:numId w:val="7"/>
        </w:numPr>
        <w:spacing w:before="0" w:after="116"/>
        <w:ind w:hanging="360" w:left="381" w:right="18"/>
        <w:jc w:val="left"/>
        <w:rPr>
          <w:rFonts w:ascii="Book Antiqua" w:hAnsi="Book Antiqua"/>
          <w:sz w:val="28"/>
          <w:szCs w:val="28"/>
        </w:rPr>
      </w:pPr>
      <w:r>
        <w:rPr>
          <w:sz w:val="28"/>
          <w:szCs w:val="28"/>
        </w:rPr>
        <w:t>прекратяване на търга в определените случаи, включително когато е не проведен или закрит.</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За резултатите от наддаването платформата генерира протокол с информация за обекта на търга, началния час, участника с най-високо тръжно предложение и втория класиран, ако има такъв, и час на закриване на търга,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случаите по т. 16, т. 17 и т. 18 електронната платформа генерира протокол за неправеден или закрит търг,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Тръжната комисия в срок от З работни дни след приключването на търга представя за одобряване и вземане на решение по т. 24 изготвен  доклад за своята работа, в който отразява своята работа относно търга и към който прилага протокол по т. 25.</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срок от З (три) работни дни след получаването на доклада по т. 27, управителят на дружеството с решение определя спечелилия търга участник.</w:t>
      </w:r>
    </w:p>
    <w:p>
      <w:pPr>
        <w:pStyle w:val="Normal"/>
        <w:numPr>
          <w:ilvl w:val="0"/>
          <w:numId w:val="7"/>
        </w:numPr>
        <w:spacing w:before="0" w:after="487"/>
        <w:ind w:hanging="360" w:left="28" w:right="35"/>
        <w:rPr>
          <w:rFonts w:ascii="Book Antiqua" w:hAnsi="Book Antiqua"/>
          <w:sz w:val="28"/>
          <w:szCs w:val="28"/>
        </w:rPr>
      </w:pPr>
      <w:r>
        <w:rPr>
          <w:sz w:val="28"/>
          <w:szCs w:val="28"/>
        </w:rPr>
        <w:t xml:space="preserve"> </w:t>
      </w:r>
      <w:r>
        <w:rPr>
          <w:sz w:val="28"/>
          <w:szCs w:val="28"/>
        </w:rPr>
        <w:t>Участниците в търга и недопуснатите кандидати се уведомяват писмено за решението по т. 28.</w:t>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В</w:t>
      </w:r>
    </w:p>
    <w:p>
      <w:pPr>
        <w:pStyle w:val="Normal"/>
        <w:widowControl/>
        <w:bidi w:val="0"/>
        <w:spacing w:lineRule="auto" w:line="264" w:before="0" w:after="215"/>
        <w:ind w:hanging="0" w:left="0" w:right="0"/>
        <w:jc w:val="center"/>
        <w:rPr>
          <w:rFonts w:ascii="Times New Roman" w:hAnsi="Times New Roman"/>
        </w:rPr>
      </w:pPr>
      <w:r>
        <w:rPr>
          <w:sz w:val="28"/>
          <w:szCs w:val="28"/>
          <w:u w:val="none" w:color="000000"/>
        </w:rPr>
        <w:t>ОСНОВАНИЯ ЗА НЕДОПУСКАНЕ И ОТСТРАНЯВАНЕ</w:t>
      </w:r>
    </w:p>
    <w:p>
      <w:pPr>
        <w:pStyle w:val="Normal"/>
        <w:spacing w:before="0" w:after="256"/>
        <w:ind w:hanging="0" w:left="742" w:right="35"/>
        <w:rPr>
          <w:rFonts w:ascii="Book Antiqua" w:hAnsi="Book Antiqua"/>
          <w:sz w:val="28"/>
          <w:szCs w:val="28"/>
        </w:rPr>
      </w:pPr>
      <w:r>
        <w:rPr>
          <w:sz w:val="28"/>
          <w:szCs w:val="28"/>
        </w:rPr>
        <w:t>Не се допускат до участие в търга кандидати, чиито предложения:</w:t>
      </w:r>
    </w:p>
    <w:p>
      <w:pPr>
        <w:pStyle w:val="Normal"/>
        <w:numPr>
          <w:ilvl w:val="0"/>
          <w:numId w:val="8"/>
        </w:numPr>
        <w:spacing w:before="0" w:after="31"/>
        <w:ind w:hanging="360" w:left="392" w:right="35"/>
        <w:rPr>
          <w:rFonts w:ascii="Times New Roman" w:hAnsi="Times New Roman"/>
        </w:rPr>
      </w:pPr>
      <w:r>
        <w:rPr>
          <w:sz w:val="28"/>
          <w:szCs w:val="28"/>
        </w:rPr>
        <w:t>Не отговарят на изискванията, посочени в т. 2 от Раздел „А”;</w:t>
      </w:r>
    </w:p>
    <w:p>
      <w:pPr>
        <w:pStyle w:val="Normal"/>
        <w:numPr>
          <w:ilvl w:val="0"/>
          <w:numId w:val="8"/>
        </w:numPr>
        <w:ind w:hanging="360" w:left="392" w:right="35"/>
        <w:rPr>
          <w:rFonts w:ascii="Times New Roman" w:hAnsi="Times New Roman"/>
        </w:rPr>
      </w:pPr>
      <w:r>
        <w:rPr>
          <w:sz w:val="28"/>
          <w:szCs w:val="28"/>
        </w:rPr>
        <w:t>Сметката на СБПЛРББ  не е заверена най-късно до изтичане на срока за Регистрация за участие в търга с определения депозит за участие;</w:t>
      </w:r>
    </w:p>
    <w:p>
      <w:pPr>
        <w:pStyle w:val="Normal"/>
        <w:numPr>
          <w:ilvl w:val="0"/>
          <w:numId w:val="8"/>
        </w:numPr>
        <w:ind w:hanging="360" w:left="392" w:right="35"/>
        <w:rPr>
          <w:rFonts w:ascii="Times New Roman" w:hAnsi="Times New Roman"/>
        </w:rPr>
      </w:pPr>
      <w:r>
        <w:rPr>
          <w:sz w:val="28"/>
          <w:szCs w:val="28"/>
        </w:rPr>
        <w:t>Не съдържат който и да е от документите, посочени в т. З, Раздел „А“ от настоящите правила;</w:t>
      </w:r>
    </w:p>
    <w:p>
      <w:pPr>
        <w:pStyle w:val="Normal"/>
        <w:numPr>
          <w:ilvl w:val="0"/>
          <w:numId w:val="8"/>
        </w:numPr>
        <w:ind w:hanging="360" w:left="392" w:right="35"/>
        <w:rPr>
          <w:rFonts w:ascii="Times New Roman" w:hAnsi="Times New Roman"/>
        </w:rPr>
      </w:pPr>
      <w:r>
        <w:rPr>
          <w:sz w:val="28"/>
          <w:szCs w:val="28"/>
        </w:rPr>
        <w:t>Представените документи не са подписани по надлежния ред или от оправомощени лица.</w:t>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Г</w:t>
      </w:r>
    </w:p>
    <w:p>
      <w:pPr>
        <w:pStyle w:val="Normal"/>
        <w:widowControl/>
        <w:bidi w:val="0"/>
        <w:spacing w:lineRule="auto" w:line="252" w:before="0" w:after="243"/>
        <w:ind w:hanging="0" w:left="0" w:right="0"/>
        <w:jc w:val="center"/>
        <w:rPr>
          <w:rFonts w:ascii="Times New Roman" w:hAnsi="Times New Roman"/>
        </w:rPr>
      </w:pPr>
      <w:r>
        <w:rPr>
          <w:sz w:val="28"/>
          <w:szCs w:val="28"/>
          <w:u w:val="none" w:color="000000"/>
        </w:rPr>
        <w:t>УСЛОВИЯ ЗА ИЗВЪРШВАНЕ НА ОГЛЕД НА ИМОТА</w:t>
      </w:r>
    </w:p>
    <w:p>
      <w:pPr>
        <w:pStyle w:val="Normal"/>
        <w:spacing w:lineRule="auto" w:line="240" w:before="0" w:after="497"/>
        <w:ind w:firstLine="710" w:left="28" w:right="35"/>
        <w:rPr>
          <w:rFonts w:ascii="Times New Roman" w:hAnsi="Times New Roman"/>
        </w:rPr>
      </w:pPr>
      <w:bookmarkStart w:id="4" w:name="__DdeLink__1010_1960293532"/>
      <w:bookmarkEnd w:id="4"/>
      <w:r>
        <w:rPr>
          <w:sz w:val="28"/>
          <w:szCs w:val="28"/>
        </w:rPr>
        <w:t>Кандидатите могат да извършат оглед на имота в срока, определен съгласно разпоредбата на чл. 7, ал. 3 от Наредбата за електронната платформа до началния час за започване на търга, всеки работен ден, след предварително съгласуване с организатор стопански дейности в СБПЛРББ на телефон 0895777544 и представено от кандидата доказателство за регистрация в платформата на конкретния търг. За извършения оглед се съставя протокол.</w:t>
      </w:r>
    </w:p>
    <w:p>
      <w:pPr>
        <w:pStyle w:val="Normal"/>
        <w:spacing w:lineRule="auto" w:line="240" w:before="0" w:after="497"/>
        <w:ind w:firstLine="710" w:left="28" w:right="35"/>
        <w:rPr>
          <w:rFonts w:ascii="Times New Roman" w:hAnsi="Times New Roman"/>
        </w:rPr>
      </w:pPr>
      <w:r>
        <w:rPr>
          <w:sz w:val="28"/>
          <w:szCs w:val="28"/>
        </w:rPr>
        <w:t xml:space="preserve">При условие, че кандидатът не извърши оглед по реда, посочен по-горе се приема, че е запознат с фактическото състояние на имота към момента на провеждане на търга и няма възражения. </w:t>
      </w:r>
    </w:p>
    <w:p>
      <w:pPr>
        <w:pStyle w:val="Normal"/>
        <w:spacing w:lineRule="auto" w:line="252" w:before="0" w:after="3"/>
        <w:ind w:firstLine="4" w:left="741"/>
        <w:jc w:val="center"/>
        <w:rPr>
          <w:rFonts w:ascii="Times New Roman" w:hAnsi="Times New Roman"/>
        </w:rPr>
      </w:pPr>
      <w:r>
        <w:rPr>
          <w:sz w:val="28"/>
          <w:szCs w:val="28"/>
          <w:u w:val="single" w:color="000000"/>
        </w:rPr>
        <w:t>РАЗДЕЛ Д</w:t>
      </w:r>
    </w:p>
    <w:p>
      <w:pPr>
        <w:pStyle w:val="Normal"/>
        <w:spacing w:lineRule="auto" w:line="264" w:before="0" w:after="237"/>
        <w:ind w:firstLine="713" w:left="50"/>
        <w:jc w:val="center"/>
        <w:rPr>
          <w:rFonts w:ascii="Book Antiqua" w:hAnsi="Book Antiqua"/>
          <w:sz w:val="28"/>
          <w:szCs w:val="28"/>
        </w:rPr>
      </w:pPr>
      <w:r>
        <w:rPr>
          <w:sz w:val="28"/>
          <w:szCs w:val="28"/>
          <w:u w:val="none" w:color="000000"/>
        </w:rPr>
        <w:t>УСЛОВИЯ ЗА СКЛЮЧВАНЕ НА ДОГОВОР ЗА ПОКУПКО-ПРОДАЖБА И НАЧИН НА ПЛАЩАНЕ НА ПОКУПНАТА ЦЕНА</w:t>
      </w:r>
    </w:p>
    <w:p>
      <w:pPr>
        <w:pStyle w:val="Normal"/>
        <w:numPr>
          <w:ilvl w:val="0"/>
          <w:numId w:val="9"/>
        </w:numPr>
        <w:spacing w:before="0" w:after="250"/>
        <w:rPr/>
      </w:pPr>
      <w:r>
        <w:rPr>
          <w:sz w:val="28"/>
          <w:szCs w:val="28"/>
        </w:rPr>
        <w:t>В срок до 5 (пет) работни дни след получаване уведомлението по т. 29 от Раздел „Б“ от всички  участници за решението за определяне на участник, спечелил търга, СБПЛРББ  освобождава депозитите на участниците, освен депозита на спечелилия търга, който се задържа като гаранция за сключване на договора за приватизация и се прихваща от цената. Депозитите се възстановяват по банковите сметки, посочени от участниците в декларациите за получена задължителна информация - Образец № 1 или Образец №1А.</w:t>
      </w:r>
    </w:p>
    <w:p>
      <w:pPr>
        <w:pStyle w:val="Normal"/>
        <w:numPr>
          <w:ilvl w:val="0"/>
          <w:numId w:val="9"/>
        </w:numPr>
        <w:ind w:hanging="360" w:left="28" w:right="35"/>
        <w:rPr>
          <w:rFonts w:ascii="Times New Roman" w:hAnsi="Times New Roman"/>
        </w:rPr>
      </w:pPr>
      <w:r>
        <w:rPr>
          <w:sz w:val="28"/>
          <w:szCs w:val="28"/>
        </w:rPr>
        <w:t>Участникът, спечелил търга, е длъжен в срок до 20 (двадесет) календарни дни от провеждането му да представи декларация по чл. 7, ал. З от ЗПСК, изготвена съобразно изискванията на Наредбата за сведенията, които съдържа декларацията по чл. 7, ал. З от ЗПСК, и за реда и органите за контрол на декларираните данни (обн. ДВ, бр. 96/11.10.2002 г.). Общият размер на собствените парични платежни средства, посочени в декларацията, заедно с привлечените средства, следва да е равен или да надхвърля размера на предстоящите плащания по приватизационната сделка.</w:t>
      </w:r>
    </w:p>
    <w:p>
      <w:pPr>
        <w:pStyle w:val="Normal"/>
        <w:spacing w:before="0" w:after="526"/>
        <w:ind w:hanging="0" w:left="28" w:right="35"/>
        <w:rPr>
          <w:rFonts w:ascii="Times New Roman" w:hAnsi="Times New Roman"/>
        </w:rPr>
      </w:pPr>
      <w:r>
        <w:rPr>
          <w:sz w:val="28"/>
          <w:szCs w:val="28"/>
        </w:rPr>
        <w:t xml:space="preserve"> </w:t>
      </w:r>
      <w:r>
        <w:rPr>
          <w:sz w:val="28"/>
          <w:szCs w:val="28"/>
        </w:rPr>
        <w:tab/>
        <w:t>В срока по настоящата точка, участникът, спечелил търга, е длъжен да представи и оригинала на декларация по чл. 59, ал. 1, т. З от ЗМИП и декларация по чл. 66, ал. 2 от ЗМИП в случай, че произходът на средства не може да се установи съгласно чл. 66, ал. 1 от ЗМИП.</w:t>
      </w:r>
    </w:p>
    <w:p>
      <w:pPr>
        <w:pStyle w:val="Normal"/>
        <w:spacing w:lineRule="auto" w:line="218" w:before="0" w:after="270"/>
        <w:ind w:firstLine="4" w:left="28"/>
        <w:rPr>
          <w:rFonts w:ascii="Book Antiqua" w:hAnsi="Book Antiqua"/>
          <w:sz w:val="28"/>
          <w:szCs w:val="28"/>
        </w:rPr>
      </w:pPr>
      <w:r>
        <w:rPr>
          <w:sz w:val="28"/>
          <w:szCs w:val="28"/>
        </w:rPr>
        <w:tab/>
        <w:t>Представянето на декларациите е задължително условие за сключването на договора за покупко-продажба, а в случаите по т. 4 — за внасянето на проекта на договор за одобрение от Надзорния съвет.</w:t>
      </w:r>
    </w:p>
    <w:p>
      <w:pPr>
        <w:pStyle w:val="Normal"/>
        <w:spacing w:before="0" w:after="316"/>
        <w:ind w:firstLine="710" w:left="28" w:right="35"/>
        <w:rPr>
          <w:rFonts w:ascii="Times New Roman" w:hAnsi="Times New Roman"/>
        </w:rPr>
      </w:pPr>
      <w:r>
        <w:rPr>
          <w:sz w:val="28"/>
          <w:szCs w:val="28"/>
        </w:rPr>
        <w:t>З. Участникът, спечелил търга, е длъжен в срок до 30 (тридесет) дни от решението по т. 28 от Раздел „Б“ да се яви за подписване на договор за покупко-продажба по нотариален ред. Задължително условие за сключване на договора е към момента на подписването му банковата сметка на СБПЛРББ да бъде заверена със сума, представляваща 100 % (сто процента) от достигнатата на търга цена, намалена със стойността на внесения депозит за участие в търга.</w:t>
      </w:r>
    </w:p>
    <w:p>
      <w:pPr>
        <w:pStyle w:val="Normal"/>
        <w:spacing w:before="0" w:after="316"/>
        <w:ind w:firstLine="710" w:left="28" w:right="35"/>
        <w:rPr>
          <w:rFonts w:ascii="Times New Roman" w:hAnsi="Times New Roman"/>
        </w:rPr>
      </w:pPr>
      <w:r>
        <w:rPr>
          <w:sz w:val="28"/>
          <w:szCs w:val="28"/>
        </w:rPr>
        <w:t>Постъпването на сумата по т. З. се удостоверява чрез получаване на потвърждение от банката на СБПЛРББ за извършването на банковия превод. При подписването на договора за покупко-продажба участникът, спечелил търга, следва да представи в нотариалното производство и оригинални платежни документи за извършения превод на сумата.</w:t>
      </w:r>
    </w:p>
    <w:p>
      <w:pPr>
        <w:pStyle w:val="Normal"/>
        <w:spacing w:before="0" w:after="316"/>
        <w:ind w:firstLine="710" w:left="28" w:right="35"/>
        <w:rPr>
          <w:rFonts w:ascii="Times New Roman" w:hAnsi="Times New Roman"/>
        </w:rPr>
      </w:pPr>
      <w:r>
        <w:rPr>
          <w:sz w:val="28"/>
          <w:szCs w:val="28"/>
        </w:rPr>
        <w:t>Освен заплащане на договорената цена за имота, купувачът заплаща за своя сметка и всички разходи по сключването на договора за покупко-продажба по нотариален ред, включително местен данък, държавна такса за вписване, нотариална такса и такса за изготвяне на проекта за нотариалния акт.</w:t>
      </w:r>
    </w:p>
    <w:p>
      <w:pPr>
        <w:pStyle w:val="Normal"/>
        <w:numPr>
          <w:ilvl w:val="0"/>
          <w:numId w:val="10"/>
        </w:numPr>
        <w:spacing w:before="0" w:after="293"/>
        <w:ind w:hanging="360" w:left="28" w:right="35"/>
        <w:rPr>
          <w:rFonts w:ascii="Times New Roman" w:hAnsi="Times New Roman"/>
        </w:rPr>
      </w:pPr>
      <w:r>
        <w:rPr>
          <w:sz w:val="28"/>
          <w:szCs w:val="28"/>
        </w:rPr>
        <w:t>В случаите, когато стойността на сделката надвишава размера, определен съгласно чл. 22д, ал. 1, т. 5 от ЗПСК, договорът подлежи на одобрение от Надзорния съвет на АППК. В този случай, проект на договор с нанесени данни на купувача и достигнатата на търга цена се парафира от представители на СБПЛРББ и купувача или упълномощен представител на купувача, за което се съставя протокол, като срокът за сключване на договор за приватизация спира да тече от датата на двустранното парафиране и започва отново да тече след получаване на одобрението от Надзорния съвет, от датата, на която участникът, спечелил търга, е уведомен писмено за това, но не по-късно от 7 дни от датата на вземане на решението.</w:t>
      </w:r>
    </w:p>
    <w:p>
      <w:pPr>
        <w:pStyle w:val="Normal"/>
        <w:numPr>
          <w:ilvl w:val="0"/>
          <w:numId w:val="10"/>
        </w:numPr>
        <w:spacing w:before="0" w:after="294"/>
        <w:ind w:hanging="360" w:left="28" w:right="35"/>
        <w:rPr>
          <w:rFonts w:ascii="Book Antiqua" w:hAnsi="Book Antiqua"/>
          <w:sz w:val="28"/>
          <w:szCs w:val="28"/>
        </w:rPr>
      </w:pPr>
      <w:r>
        <w:rPr>
          <w:sz w:val="28"/>
          <w:szCs w:val="28"/>
        </w:rPr>
        <w:t xml:space="preserve">Ако в срока по т. З не бъде сключен договор за </w:t>
      </w:r>
      <w:r>
        <w:rPr>
          <w:sz w:val="28"/>
          <w:szCs w:val="28"/>
        </w:rPr>
        <w:t>покупко-</w:t>
      </w:r>
      <w:r>
        <w:rPr>
          <w:sz w:val="28"/>
          <w:szCs w:val="28"/>
        </w:rPr>
        <w:t>пр</w:t>
      </w:r>
      <w:r>
        <w:rPr>
          <w:sz w:val="28"/>
          <w:szCs w:val="28"/>
        </w:rPr>
        <w:t>одажба</w:t>
      </w:r>
      <w:r>
        <w:rPr>
          <w:sz w:val="28"/>
          <w:szCs w:val="28"/>
        </w:rPr>
        <w:t xml:space="preserve"> по вина на участника, спечелил търга, СБПЛРББ взема решение за даване на нов срок от 30 (тридесет) дни за сключване на договор с класирания на второ място участник. С решението по предходното изречение се определя и нов срок, в който класираният на второ място участник следва да внесе повторно депозита за участие.</w:t>
      </w:r>
    </w:p>
    <w:p>
      <w:pPr>
        <w:pStyle w:val="Normal"/>
        <w:numPr>
          <w:ilvl w:val="0"/>
          <w:numId w:val="10"/>
        </w:numPr>
        <w:spacing w:before="0" w:after="278"/>
        <w:ind w:hanging="360" w:left="28" w:right="35"/>
        <w:rPr>
          <w:rFonts w:ascii="Book Antiqua" w:hAnsi="Book Antiqua"/>
          <w:sz w:val="28"/>
          <w:szCs w:val="28"/>
        </w:rPr>
      </w:pPr>
      <w:r>
        <w:rPr>
          <w:sz w:val="28"/>
          <w:szCs w:val="28"/>
        </w:rPr>
        <w:t xml:space="preserve">Ако в определения срок не бъде сключен договор за </w:t>
      </w:r>
      <w:r>
        <w:rPr>
          <w:sz w:val="28"/>
          <w:szCs w:val="28"/>
        </w:rPr>
        <w:t>покупко-</w:t>
      </w:r>
      <w:r>
        <w:rPr>
          <w:sz w:val="28"/>
          <w:szCs w:val="28"/>
        </w:rPr>
        <w:t>пр</w:t>
      </w:r>
      <w:r>
        <w:rPr>
          <w:sz w:val="28"/>
          <w:szCs w:val="28"/>
        </w:rPr>
        <w:t>одажба</w:t>
      </w:r>
      <w:r>
        <w:rPr>
          <w:sz w:val="28"/>
          <w:szCs w:val="28"/>
        </w:rPr>
        <w:t xml:space="preserve"> по причини, независещи от волята на участника спечелил търга, съответно на класирания на второ място участник в случаите по т. 5 от настоящия раздел, СБПЛРББ взема решение за удължаване на срока за сключване на договор.</w:t>
      </w:r>
    </w:p>
    <w:p>
      <w:pPr>
        <w:pStyle w:val="Normal"/>
        <w:numPr>
          <w:ilvl w:val="0"/>
          <w:numId w:val="10"/>
        </w:numPr>
        <w:spacing w:before="0" w:after="86"/>
        <w:ind w:hanging="360" w:left="28" w:right="35"/>
        <w:rPr>
          <w:rFonts w:ascii="Book Antiqua" w:hAnsi="Book Antiqua"/>
          <w:sz w:val="28"/>
          <w:szCs w:val="28"/>
        </w:rPr>
      </w:pPr>
      <w:r>
        <w:rPr>
          <w:sz w:val="28"/>
          <w:szCs w:val="28"/>
        </w:rPr>
        <w:t>В случаите по т. 4 от настоящия раздел, когато Надзорният съвет не одобри проекта на договор за приватизация, СБПЛРББ  взема решение за:</w:t>
      </w:r>
    </w:p>
    <w:p>
      <w:pPr>
        <w:pStyle w:val="Normal"/>
        <w:numPr>
          <w:ilvl w:val="1"/>
          <w:numId w:val="10"/>
        </w:numPr>
        <w:spacing w:before="0" w:after="270"/>
        <w:ind w:hanging="706" w:left="1476" w:right="35"/>
        <w:rPr>
          <w:rFonts w:ascii="Times New Roman" w:hAnsi="Times New Roman"/>
        </w:rPr>
      </w:pPr>
      <w:r>
        <w:rPr>
          <w:sz w:val="28"/>
          <w:szCs w:val="28"/>
        </w:rPr>
        <w:t>прекратяване на процедурата за продажба чрез електронен търг и освобождаване депозита на спечелилия участник или</w:t>
      </w:r>
    </w:p>
    <w:p>
      <w:pPr>
        <w:pStyle w:val="Normal"/>
        <w:spacing w:lineRule="auto" w:line="259" w:before="0" w:after="0"/>
        <w:ind w:hanging="0" w:left="180"/>
        <w:jc w:val="left"/>
        <w:rPr>
          <w:rFonts w:ascii="Times New Roman" w:hAnsi="Times New Roman"/>
        </w:rPr>
      </w:pPr>
      <w:r>
        <w:rPr/>
        <mc:AlternateContent>
          <mc:Choice Requires="wpg">
            <w:drawing>
              <wp:inline distT="0" distB="0" distL="0" distR="0">
                <wp:extent cx="5470525" cy="20320"/>
                <wp:effectExtent l="0" t="0" r="0" b="0"/>
                <wp:docPr id="8" name="Shape2"/>
                <a:graphic xmlns:a="http://schemas.openxmlformats.org/drawingml/2006/main">
                  <a:graphicData uri="http://schemas.microsoft.com/office/word/2010/wordprocessingGroup">
                    <wpg:wgp>
                      <wpg:cNvGrpSpPr/>
                      <wpg:grpSpPr>
                        <a:xfrm>
                          <a:off x="0" y="0"/>
                          <a:ext cx="5470560" cy="20160"/>
                          <a:chOff x="0" y="0"/>
                          <a:chExt cx="5470560" cy="20160"/>
                        </a:xfrm>
                      </wpg:grpSpPr>
                      <wps:wsp>
                        <wps:cNvPr id="9" name=""/>
                        <wps:cNvSpPr/>
                        <wps:spPr>
                          <a:xfrm>
                            <a:off x="0" y="0"/>
                            <a:ext cx="5470560" cy="20160"/>
                          </a:xfrm>
                          <a:custGeom>
                            <a:avLst/>
                            <a:gdLst>
                              <a:gd name="textAreaLeft" fmla="*/ 0 w 3101400"/>
                              <a:gd name="textAreaRight" fmla="*/ 3102120 w 3101400"/>
                              <a:gd name="textAreaTop" fmla="*/ 0 h 11520"/>
                              <a:gd name="textAreaBottom" fmla="*/ 12240 h 11520"/>
                            </a:gdLst>
                            <a:ahLst/>
                            <a:rect l="textAreaLeft" t="textAreaTop" r="textAreaRight" b="textAreaBottom"/>
                            <a:pathLst>
                              <a:path w="5458969" h="9144">
                                <a:moveTo>
                                  <a:pt x="0" y="4573"/>
                                </a:moveTo>
                                <a:lnTo>
                                  <a:pt x="5458969" y="4573"/>
                                </a:lnTo>
                              </a:path>
                            </a:pathLst>
                          </a:custGeom>
                          <a:noFill/>
                          <a:ln w="9000">
                            <a:solidFill>
                              <a:srgbClr val="ffffff"/>
                            </a:solidFill>
                          </a:ln>
                        </wps:spPr>
                        <wps:style>
                          <a:lnRef idx="1"/>
                          <a:fillRef idx="0"/>
                          <a:effectRef idx="0"/>
                          <a:fontRef idx="minor"/>
                        </wps:style>
                        <wps:bodyPr/>
                      </wps:wsp>
                    </wpg:wgp>
                  </a:graphicData>
                </a:graphic>
              </wp:inline>
            </w:drawing>
          </mc:Choice>
          <mc:Fallback>
            <w:pict>
              <v:group id="shape_0" alt="Shape2" style="position:absolute;margin-left:0pt;margin-top:-1.65pt;width:430.75pt;height:1.6pt" coordorigin="0,-33" coordsize="8615,32"/>
            </w:pict>
          </mc:Fallback>
        </mc:AlternateContent>
      </w:r>
    </w:p>
    <w:p>
      <w:pPr>
        <w:pStyle w:val="Normal"/>
        <w:numPr>
          <w:ilvl w:val="1"/>
          <w:numId w:val="10"/>
        </w:numPr>
        <w:spacing w:before="0" w:after="486"/>
        <w:ind w:hanging="706" w:left="1476" w:right="35"/>
        <w:rPr>
          <w:rFonts w:ascii="Times New Roman" w:hAnsi="Times New Roman"/>
        </w:rPr>
      </w:pPr>
      <w:r>
        <w:rPr>
          <w:sz w:val="28"/>
          <w:szCs w:val="28"/>
        </w:rPr>
        <w:t>даване на срок за сключване на договор с класирания на второ място участник.</w:t>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Е</w:t>
      </w:r>
    </w:p>
    <w:p>
      <w:pPr>
        <w:pStyle w:val="Normal"/>
        <w:spacing w:lineRule="auto" w:line="252" w:before="0" w:after="293"/>
        <w:ind w:firstLine="4" w:left="741"/>
        <w:jc w:val="center"/>
        <w:rPr>
          <w:rFonts w:ascii="Times New Roman" w:hAnsi="Times New Roman"/>
        </w:rPr>
      </w:pPr>
      <w:r>
        <w:rPr>
          <w:sz w:val="28"/>
          <w:szCs w:val="28"/>
          <w:u w:val="none" w:color="000000"/>
        </w:rPr>
        <w:t>ОСНОВАНИЯ ЗА ЗАДЪРЖАНЕ НА ДЕПОЗИТА</w:t>
      </w:r>
    </w:p>
    <w:p>
      <w:pPr>
        <w:pStyle w:val="Normal"/>
        <w:spacing w:before="0" w:after="67"/>
        <w:ind w:firstLine="710" w:left="28" w:right="35"/>
        <w:rPr>
          <w:rFonts w:ascii="Times New Roman" w:hAnsi="Times New Roman"/>
        </w:rPr>
      </w:pPr>
      <w:r>
        <w:rPr>
          <w:sz w:val="28"/>
          <w:szCs w:val="28"/>
        </w:rPr>
        <w:t>Внесеният депозит за участие в търга се задържа и не подлежи на връщане, когато:</w:t>
      </w:r>
    </w:p>
    <w:p>
      <w:pPr>
        <w:pStyle w:val="Normal"/>
        <w:numPr>
          <w:ilvl w:val="0"/>
          <w:numId w:val="11"/>
        </w:numPr>
        <w:ind w:hanging="360" w:left="28" w:right="35"/>
        <w:rPr>
          <w:rFonts w:ascii="Book Antiqua" w:hAnsi="Book Antiqua"/>
          <w:sz w:val="28"/>
          <w:szCs w:val="28"/>
        </w:rPr>
      </w:pPr>
      <w:r>
        <w:rPr>
          <w:sz w:val="28"/>
          <w:szCs w:val="28"/>
        </w:rPr>
        <w:t>Участникът, спечелил търга, съответно класираният на второ място участник, на когото е даден срок за сключване на договор в случаите по т. 5 или т. 7 на Раздел „Д”, не сключи по своя вина договора за приватизация в определения срок (включително и в случаите по т. 6 на Раздел „Д”);</w:t>
      </w:r>
    </w:p>
    <w:p>
      <w:pPr>
        <w:pStyle w:val="Normal"/>
        <w:numPr>
          <w:ilvl w:val="0"/>
          <w:numId w:val="11"/>
        </w:numPr>
        <w:spacing w:before="0" w:after="49"/>
        <w:ind w:hanging="360" w:left="28" w:right="35"/>
        <w:rPr>
          <w:rFonts w:ascii="Times New Roman" w:hAnsi="Times New Roman"/>
        </w:rPr>
      </w:pPr>
      <w:r>
        <w:rPr>
          <w:sz w:val="28"/>
          <w:szCs w:val="28"/>
        </w:rPr>
        <w:t>До изтичане на срока за сключване на договор банковата сметка на продавача не бъде заверена с покупната цена, сумата представляваща режийни разноски и начисленият върху тях данък добавена стойност, съгласно проекта на договор за приватизация и т. З на Раздел „Д' от настоящата тръжна документация;</w:t>
      </w:r>
    </w:p>
    <w:p>
      <w:pPr>
        <w:pStyle w:val="Normal"/>
        <w:numPr>
          <w:ilvl w:val="0"/>
          <w:numId w:val="11"/>
        </w:numPr>
        <w:spacing w:before="0" w:after="49"/>
        <w:ind w:hanging="360" w:left="28" w:right="35"/>
        <w:rPr>
          <w:rFonts w:ascii="Times New Roman" w:hAnsi="Times New Roman"/>
        </w:rPr>
      </w:pPr>
      <w:r>
        <w:rPr>
          <w:sz w:val="28"/>
          <w:szCs w:val="28"/>
        </w:rPr>
        <w:t>В случай че никой от оторизиралите се участници не обяви по-висока от началната цена с една стъпка, внесения/те депозит/и за участие се задържа/т.</w:t>
      </w:r>
    </w:p>
    <w:p>
      <w:pPr>
        <w:pStyle w:val="Normal"/>
        <w:spacing w:lineRule="auto" w:line="252" w:before="0" w:after="3"/>
        <w:ind w:firstLine="4" w:left="741"/>
        <w:jc w:val="center"/>
        <w:rPr>
          <w:rFonts w:ascii="Times New Roman" w:hAnsi="Times New Roman"/>
          <w:sz w:val="28"/>
          <w:szCs w:val="28"/>
          <w:u w:val="single" w:color="000000"/>
        </w:rPr>
      </w:pPr>
      <w:r>
        <w:rPr>
          <w:sz w:val="28"/>
          <w:szCs w:val="28"/>
          <w:u w:val="single" w:color="000000"/>
        </w:rPr>
      </w:r>
    </w:p>
    <w:p>
      <w:pPr>
        <w:pStyle w:val="Normal"/>
        <w:spacing w:lineRule="auto" w:line="252" w:before="0" w:after="3"/>
        <w:ind w:firstLine="4" w:left="741"/>
        <w:jc w:val="center"/>
        <w:rPr>
          <w:rFonts w:ascii="Times New Roman" w:hAnsi="Times New Roman"/>
        </w:rPr>
      </w:pPr>
      <w:r>
        <w:rPr>
          <w:sz w:val="28"/>
          <w:szCs w:val="28"/>
          <w:u w:val="single" w:color="000000"/>
        </w:rPr>
        <w:t>РАЗДЕЛ Ж</w:t>
      </w:r>
    </w:p>
    <w:p>
      <w:pPr>
        <w:pStyle w:val="Normal"/>
        <w:widowControl/>
        <w:bidi w:val="0"/>
        <w:spacing w:lineRule="auto" w:line="264" w:before="0" w:after="0"/>
        <w:ind w:hanging="0" w:left="0" w:right="0"/>
        <w:jc w:val="center"/>
        <w:rPr>
          <w:rFonts w:ascii="Times New Roman" w:hAnsi="Times New Roman"/>
        </w:rPr>
      </w:pPr>
      <w:r>
        <w:rPr>
          <w:sz w:val="28"/>
          <w:szCs w:val="28"/>
        </w:rPr>
        <w:t xml:space="preserve">ОСНОВАНИЯ ЗА ПРЕКРАТЯВАНЕ, </w:t>
      </w:r>
    </w:p>
    <w:p>
      <w:pPr>
        <w:pStyle w:val="Normal"/>
        <w:widowControl/>
        <w:bidi w:val="0"/>
        <w:spacing w:lineRule="auto" w:line="264" w:before="0" w:after="0"/>
        <w:ind w:hanging="0" w:left="0" w:right="0"/>
        <w:jc w:val="center"/>
        <w:rPr>
          <w:rFonts w:ascii="Times New Roman" w:hAnsi="Times New Roman"/>
        </w:rPr>
      </w:pPr>
      <w:r>
        <w:rPr>
          <w:sz w:val="28"/>
          <w:szCs w:val="28"/>
        </w:rPr>
        <w:t>ВКЛЮЧИТЕЛНО НЕПРОВЕЖДАНЕ НА ЕЛЕКТРОННИЯ ТЪРГ</w:t>
      </w:r>
    </w:p>
    <w:p>
      <w:pPr>
        <w:pStyle w:val="Normal"/>
        <w:widowControl/>
        <w:bidi w:val="0"/>
        <w:spacing w:lineRule="auto" w:line="264" w:before="0" w:after="0"/>
        <w:ind w:hanging="0" w:left="0" w:right="0"/>
        <w:jc w:val="center"/>
        <w:rPr>
          <w:rFonts w:ascii="Times New Roman" w:hAnsi="Times New Roman"/>
          <w:sz w:val="28"/>
          <w:szCs w:val="28"/>
        </w:rPr>
      </w:pPr>
      <w:r>
        <w:rPr>
          <w:sz w:val="28"/>
          <w:szCs w:val="28"/>
        </w:rPr>
      </w:r>
    </w:p>
    <w:p>
      <w:pPr>
        <w:pStyle w:val="Normal"/>
        <w:numPr>
          <w:ilvl w:val="0"/>
          <w:numId w:val="12"/>
        </w:numPr>
        <w:spacing w:before="0" w:after="31"/>
        <w:ind w:hanging="360" w:left="399" w:right="35"/>
        <w:rPr>
          <w:rFonts w:ascii="Book Antiqua" w:hAnsi="Book Antiqua"/>
          <w:sz w:val="28"/>
          <w:szCs w:val="28"/>
        </w:rPr>
      </w:pPr>
      <w:r>
        <w:rPr>
          <w:sz w:val="28"/>
          <w:szCs w:val="28"/>
        </w:rPr>
        <w:t>Обявеният в платформата електронен търг се прекратява, когато:</w:t>
      </w:r>
    </w:p>
    <w:p>
      <w:pPr>
        <w:pStyle w:val="Normal"/>
        <w:numPr>
          <w:ilvl w:val="1"/>
          <w:numId w:val="12"/>
        </w:numPr>
        <w:spacing w:before="0" w:after="64"/>
        <w:ind w:hanging="360" w:left="1119" w:right="35"/>
        <w:rPr>
          <w:rFonts w:ascii="Book Antiqua" w:hAnsi="Book Antiqua"/>
          <w:sz w:val="28"/>
          <w:szCs w:val="28"/>
        </w:rPr>
      </w:pPr>
      <w:r>
        <w:rPr>
          <w:sz w:val="28"/>
          <w:szCs w:val="28"/>
        </w:rPr>
        <w:t>няма нито един регистрирал се кандидат до изтичане на срока за валидност на конкретния търг или няма нито един допуснат кандидат;</w:t>
      </w:r>
    </w:p>
    <w:p>
      <w:pPr>
        <w:pStyle w:val="Normal"/>
        <w:numPr>
          <w:ilvl w:val="1"/>
          <w:numId w:val="12"/>
        </w:numPr>
        <w:ind w:hanging="360" w:left="1119" w:right="35"/>
        <w:rPr>
          <w:rFonts w:ascii="Book Antiqua" w:hAnsi="Book Antiqua"/>
          <w:sz w:val="28"/>
          <w:szCs w:val="28"/>
        </w:rPr>
      </w:pPr>
      <w:r>
        <w:rPr>
          <w:sz w:val="28"/>
          <w:szCs w:val="28"/>
        </w:rPr>
        <w:t>нито един регистрирал се участник не се е оторизирал за наддаване или нито един оторизирал се участник не наддаде с една стъпка над началната тръжна цена;</w:t>
      </w:r>
    </w:p>
    <w:p>
      <w:pPr>
        <w:pStyle w:val="Normal"/>
        <w:numPr>
          <w:ilvl w:val="1"/>
          <w:numId w:val="12"/>
        </w:numPr>
        <w:spacing w:before="0" w:after="31"/>
        <w:ind w:hanging="360" w:left="1119" w:right="35"/>
        <w:rPr>
          <w:rFonts w:ascii="Book Antiqua" w:hAnsi="Book Antiqua"/>
          <w:sz w:val="28"/>
          <w:szCs w:val="28"/>
        </w:rPr>
      </w:pPr>
      <w:r>
        <w:rPr>
          <w:sz w:val="28"/>
          <w:szCs w:val="28"/>
        </w:rPr>
        <w:t>първият и вторият класиран участник откажат да сключат договор;</w:t>
      </w:r>
    </w:p>
    <w:p>
      <w:pPr>
        <w:pStyle w:val="Normal"/>
        <w:numPr>
          <w:ilvl w:val="1"/>
          <w:numId w:val="12"/>
        </w:numPr>
        <w:spacing w:before="0" w:after="26"/>
        <w:ind w:hanging="360" w:left="1119" w:right="35"/>
        <w:rPr>
          <w:rFonts w:ascii="Book Antiqua" w:hAnsi="Book Antiqua"/>
          <w:sz w:val="28"/>
          <w:szCs w:val="28"/>
        </w:rPr>
      </w:pPr>
      <w:r>
        <w:rPr>
          <w:sz w:val="28"/>
          <w:szCs w:val="28"/>
        </w:rPr>
        <w:t>отпадне необходимостта от провеждане на търга или за провеждането му са необходими съществени изменения на обявените условия, или възникнат обстоятелства, които правят провеждането на тьрга невъзможно.</w:t>
      </w:r>
    </w:p>
    <w:p>
      <w:pPr>
        <w:pStyle w:val="Normal"/>
        <w:numPr>
          <w:ilvl w:val="0"/>
          <w:numId w:val="12"/>
        </w:numPr>
        <w:spacing w:before="0" w:after="34"/>
        <w:ind w:hanging="360" w:left="399" w:right="35"/>
        <w:rPr>
          <w:rFonts w:ascii="Times New Roman" w:hAnsi="Times New Roman"/>
        </w:rPr>
      </w:pPr>
      <w:r>
        <w:rPr>
          <w:sz w:val="28"/>
          <w:szCs w:val="28"/>
        </w:rPr>
        <w:t>Акт за прекратяването на търга се издава в срок от З работни дни от получаването на доклада на комисията, съответно от настъпване на обстоятелството по т. 1.3. или т. 1.4. и се съобщава писмено на съответните лица.</w:t>
      </w:r>
    </w:p>
    <w:p>
      <w:pPr>
        <w:pStyle w:val="Normal"/>
        <w:numPr>
          <w:ilvl w:val="0"/>
          <w:numId w:val="12"/>
        </w:numPr>
        <w:spacing w:before="0" w:after="34"/>
        <w:ind w:hanging="360" w:left="399" w:right="35"/>
        <w:rPr>
          <w:rFonts w:ascii="Times New Roman" w:hAnsi="Times New Roman"/>
        </w:rPr>
      </w:pPr>
      <w:r>
        <w:rPr>
          <w:sz w:val="28"/>
          <w:szCs w:val="28"/>
        </w:rPr>
        <w:t>Нов търг за същия обект може да се обяви, когато първоначално обявеният е прекратен по т. 1 и актът  за прекратяване не е обжалван или ако е обжалван, спорьт е решен с влязло в сила решение.</w:t>
      </w:r>
    </w:p>
    <w:p>
      <w:pPr>
        <w:pStyle w:val="Normal"/>
        <w:spacing w:before="0" w:after="34"/>
        <w:ind w:hanging="360" w:left="399" w:right="35"/>
        <w:rPr>
          <w:rFonts w:ascii="Times New Roman" w:hAnsi="Times New Roman"/>
          <w:sz w:val="28"/>
          <w:szCs w:val="28"/>
        </w:rPr>
      </w:pPr>
      <w:r>
        <w:rPr>
          <w:sz w:val="28"/>
          <w:szCs w:val="28"/>
        </w:rPr>
      </w:r>
    </w:p>
    <w:p>
      <w:pPr>
        <w:pStyle w:val="Normal"/>
        <w:widowControl/>
        <w:bidi w:val="0"/>
        <w:spacing w:lineRule="auto" w:line="252" w:before="0" w:after="299"/>
        <w:ind w:hanging="0" w:left="0" w:right="0"/>
        <w:jc w:val="center"/>
        <w:rPr/>
      </w:pPr>
      <w:r>
        <w:rPr>
          <w:sz w:val="28"/>
          <w:szCs w:val="28"/>
          <w:u w:val="single" w:color="000000"/>
        </w:rPr>
        <w:t xml:space="preserve">РАЗДЕЛ  З </w:t>
      </w:r>
    </w:p>
    <w:p>
      <w:pPr>
        <w:pStyle w:val="Normal"/>
        <w:widowControl/>
        <w:bidi w:val="0"/>
        <w:spacing w:lineRule="auto" w:line="252" w:before="0" w:after="299"/>
        <w:ind w:hanging="0" w:left="0" w:right="0"/>
        <w:jc w:val="center"/>
        <w:rPr>
          <w:rFonts w:ascii="Book Antiqua" w:hAnsi="Book Antiqua"/>
          <w:sz w:val="28"/>
          <w:szCs w:val="28"/>
        </w:rPr>
      </w:pPr>
      <w:r>
        <w:rPr>
          <w:sz w:val="28"/>
          <w:szCs w:val="28"/>
          <w:u w:val="none" w:color="000000"/>
        </w:rPr>
        <w:t>ДРУГИ</w:t>
      </w:r>
    </w:p>
    <w:p>
      <w:pPr>
        <w:pStyle w:val="Normal"/>
        <w:numPr>
          <w:ilvl w:val="0"/>
          <w:numId w:val="13"/>
        </w:numPr>
        <w:spacing w:before="0" w:after="38"/>
        <w:ind w:hanging="360" w:left="28" w:right="35"/>
        <w:rPr>
          <w:rFonts w:ascii="Book Antiqua" w:hAnsi="Book Antiqua"/>
          <w:sz w:val="28"/>
          <w:szCs w:val="28"/>
        </w:rPr>
      </w:pPr>
      <w:r>
        <w:rPr>
          <w:sz w:val="28"/>
          <w:szCs w:val="28"/>
        </w:rPr>
        <w:t>Всички срокове в настоящата тръжна документация се изчисляват по реда на Закона за задълженията и договорите.</w:t>
      </w:r>
    </w:p>
    <w:p>
      <w:pPr>
        <w:pStyle w:val="Normal"/>
        <w:numPr>
          <w:ilvl w:val="0"/>
          <w:numId w:val="13"/>
        </w:numPr>
        <w:spacing w:before="0" w:after="560"/>
        <w:rPr>
          <w:rFonts w:ascii="Times New Roman" w:hAnsi="Times New Roman"/>
        </w:rPr>
      </w:pPr>
      <w:r>
        <w:rPr>
          <w:sz w:val="28"/>
          <w:szCs w:val="28"/>
        </w:rPr>
        <w:t>За всички неуредени в настоящата тръжна документация въпроси се прилагат съответните разпоредби на Наредба за електронната платформа и Наредбата за търговете и конкурсите. В случай на противоречие между разпоредби в настоящата тръжна документация и действащи разпоредби на нормативни актове, приоритет имат съответните разпоредби на нормативните актове в следната поредност: Закон за приватизацията и следприватизационен контрол (с най-висш приоритет), Наредба за електронната платформа, Наредбата за търговете и конкурсите.</w:t>
      </w:r>
    </w:p>
    <w:p>
      <w:pPr>
        <w:pStyle w:val="Normal"/>
        <w:widowControl/>
        <w:bidi w:val="0"/>
        <w:spacing w:lineRule="auto" w:line="228" w:before="0" w:after="194"/>
        <w:ind w:hanging="0" w:left="0" w:right="57"/>
        <w:jc w:val="both"/>
        <w:rPr>
          <w:rStyle w:val="Hyperlink"/>
          <w:sz w:val="28"/>
          <w:szCs w:val="28"/>
          <w:u w:val="none"/>
        </w:rPr>
      </w:pPr>
      <w:r>
        <w:rPr>
          <w:sz w:val="28"/>
          <w:szCs w:val="28"/>
        </w:rPr>
        <w:t xml:space="preserve"> </w:t>
      </w:r>
      <w:r>
        <w:rPr>
          <w:sz w:val="28"/>
          <w:szCs w:val="28"/>
        </w:rPr>
        <w:tab/>
        <w:t xml:space="preserve">Електронната платформа за продажба на имоти може да бъде открита на адрес </w:t>
      </w:r>
      <w:r>
        <w:rPr>
          <w:rStyle w:val="Hyperlink"/>
          <w:sz w:val="28"/>
          <w:szCs w:val="28"/>
        </w:rPr>
        <w:t>https://estate-sales.uslugi.io/upcoming-public</w:t>
      </w:r>
    </w:p>
    <w:p>
      <w:pPr>
        <w:pStyle w:val="Normal"/>
        <w:spacing w:lineRule="auto" w:line="259" w:before="0" w:after="0"/>
        <w:ind w:hanging="0" w:left="842"/>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sz w:val="28"/>
          <w:szCs w:val="28"/>
        </w:rPr>
        <w:t>2</w:t>
      </w:r>
      <w:r>
        <w:rPr>
          <w:sz w:val="28"/>
          <w:szCs w:val="28"/>
        </w:rPr>
        <w:t>4</w:t>
      </w:r>
      <w:r>
        <w:rPr>
          <w:sz w:val="28"/>
          <w:szCs w:val="28"/>
        </w:rPr>
        <w:t>.09.2025 г.</w:t>
      </w:r>
    </w:p>
    <w:p>
      <w:pPr>
        <w:pStyle w:val="Normal"/>
        <w:widowControl/>
        <w:bidi w:val="0"/>
        <w:spacing w:lineRule="auto" w:line="259" w:before="0" w:after="0"/>
        <w:ind w:hanging="0" w:left="57" w:right="0"/>
        <w:jc w:val="left"/>
        <w:rPr>
          <w:rFonts w:ascii="Times New Roman" w:hAnsi="Times New Roman"/>
        </w:rPr>
      </w:pPr>
      <w:r>
        <w:rPr>
          <w:sz w:val="28"/>
          <w:szCs w:val="28"/>
        </w:rPr>
        <w:t>град Трявна</w:t>
      </w:r>
    </w:p>
    <w:p>
      <w:pPr>
        <w:pStyle w:val="Normal"/>
        <w:widowControl/>
        <w:bidi w:val="0"/>
        <w:spacing w:lineRule="auto" w:line="259" w:before="0" w:after="0"/>
        <w:ind w:hanging="0" w:left="57" w:right="0"/>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r>
    </w:p>
    <w:sectPr>
      <w:footerReference w:type="even" r:id="rId7"/>
      <w:footerReference w:type="default" r:id="rId8"/>
      <w:footerReference w:type="first" r:id="rId9"/>
      <w:type w:val="nextPage"/>
      <w:pgSz w:w="11906" w:h="16838"/>
      <w:pgMar w:left="1404" w:right="922" w:gutter="0" w:header="0" w:top="1282" w:footer="708" w:bottom="765"/>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swiss"/>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 w:name="Book Antiqu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decimal"/>
      <w:lvlText w:val="%2."/>
      <w:lvlJc w:val="left"/>
      <w:pPr>
        <w:tabs>
          <w:tab w:val="num" w:pos="0"/>
        </w:tabs>
        <w:ind w:left="515"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0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28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52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24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496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56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4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4"/>
      <w:numFmt w:val="decimal"/>
      <w:lvlText w:val="%2."/>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1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8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54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26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98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7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4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3">
    <w:lvl w:ilvl="0">
      <w:start w:val="2"/>
      <w:numFmt w:val="decimal"/>
      <w:lvlText w:val="%1."/>
      <w:lvlJc w:val="left"/>
      <w:pPr>
        <w:tabs>
          <w:tab w:val="num" w:pos="0"/>
        </w:tabs>
        <w:ind w:left="1461"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47"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8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5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7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9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4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4">
    <w:lvl w:ilvl="0">
      <w:start w:val="3"/>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1">
      <w:start w:val="1"/>
      <w:numFmt w:val="decimal"/>
      <w:lvlText w:val="%1.%2"/>
      <w:lvlJc w:val="left"/>
      <w:pPr>
        <w:tabs>
          <w:tab w:val="num" w:pos="0"/>
        </w:tabs>
        <w:ind w:left="718"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decimal"/>
      <w:lvlText w:val="%1.%2.%3."/>
      <w:lvlJc w:val="left"/>
      <w:pPr>
        <w:tabs>
          <w:tab w:val="num" w:pos="0"/>
        </w:tabs>
        <w:ind w:left="37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17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251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23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395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467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53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5">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6">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7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3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7">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381"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7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3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5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7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3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8">
    <w:lvl w:ilvl="0">
      <w:start w:val="1"/>
      <w:numFmt w:val="decimal"/>
      <w:lvlText w:val="%1."/>
      <w:lvlJc w:val="left"/>
      <w:pPr>
        <w:tabs>
          <w:tab w:val="num" w:pos="0"/>
        </w:tabs>
        <w:ind w:left="392"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9">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1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3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0">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76"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1">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3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9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399" w:hanging="360"/>
      </w:pPr>
      <w:rPr>
        <w:dstrike w:val="false"/>
        <w:strike w:val="false"/>
        <w:vertAlign w:val="baseline"/>
        <w:position w:val="0"/>
        <w:sz w:val="28"/>
        <w:sz w:val="28"/>
        <w:i w:val="false"/>
        <w:u w:val="none" w:color="000000"/>
        <w:b w:val="false"/>
        <w:szCs w:val="30"/>
        <w:highlight w:val="white"/>
        <w:rFonts w:ascii="Times New Roman" w:hAnsi="Times New Roman" w:eastAsia="Times New Roman" w:cs="Times New Roman"/>
        <w:color w:val="000000"/>
      </w:rPr>
    </w:lvl>
    <w:lvl w:ilvl="1">
      <w:start w:val="1"/>
      <w:numFmt w:val="decimal"/>
      <w:lvlText w:val="%1.%2."/>
      <w:lvlJc w:val="left"/>
      <w:pPr>
        <w:tabs>
          <w:tab w:val="num" w:pos="0"/>
        </w:tabs>
        <w:ind w:left="111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3">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7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9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defaultTabStop w:val="708"/>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bg-BG" w:eastAsia="bg-BG"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28" w:before="0" w:after="5"/>
      <w:ind w:firstLine="710" w:left="3787"/>
      <w:jc w:val="both"/>
    </w:pPr>
    <w:rPr>
      <w:rFonts w:ascii="Times New Roman" w:hAnsi="Times New Roman" w:eastAsia="Times New Roman" w:cs="Times New Roman"/>
      <w:color w:val="000000"/>
      <w:kern w:val="0"/>
      <w:sz w:val="24"/>
      <w:szCs w:val="22"/>
      <w:lang w:val="bg-BG" w:eastAsia="bg-BG" w:bidi="ar-SA"/>
    </w:rPr>
  </w:style>
  <w:style w:type="paragraph" w:styleId="Heading1">
    <w:name w:val="Heading 1"/>
    <w:basedOn w:val="Heading"/>
    <w:uiPriority w:val="9"/>
    <w:unhideWhenUsed/>
    <w:qFormat/>
    <w:pPr>
      <w:keepNext w:val="true"/>
      <w:keepLines/>
      <w:widowControl/>
      <w:bidi w:val="0"/>
      <w:spacing w:before="240" w:after="12"/>
      <w:ind w:firstLine="710" w:left="3787" w:right="295"/>
      <w:jc w:val="left"/>
      <w:outlineLvl w:val="0"/>
    </w:pPr>
    <w:rPr>
      <w:rFonts w:ascii="Times New Roman" w:hAnsi="Times New Roman" w:eastAsia="Times New Roman" w:cs="Times New Roman"/>
      <w:color w:val="000000"/>
      <w:sz w:val="50"/>
    </w:rPr>
  </w:style>
  <w:style w:type="paragraph" w:styleId="Heading2">
    <w:name w:val="Heading 2"/>
    <w:basedOn w:val="Heading"/>
    <w:uiPriority w:val="9"/>
    <w:unhideWhenUsed/>
    <w:qFormat/>
    <w:pPr>
      <w:keepNext w:val="true"/>
      <w:keepLines/>
      <w:widowControl/>
      <w:bidi w:val="0"/>
      <w:spacing w:before="240" w:after="593"/>
      <w:ind w:firstLine="710" w:left="3787" w:right="7"/>
      <w:jc w:val="center"/>
      <w:outlineLvl w:val="1"/>
    </w:pPr>
    <w:rPr>
      <w:rFonts w:ascii="Times New Roman" w:hAnsi="Times New Roman" w:eastAsia="Times New Roman" w:cs="Times New Roman"/>
      <w:color w:val="000000"/>
      <w:sz w:val="32"/>
      <w:u w:val="single" w:color="000000"/>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2" w:customStyle="1">
    <w:name w:val="Заглавие 2 Знак"/>
    <w:qFormat/>
    <w:rPr>
      <w:rFonts w:ascii="Times New Roman" w:hAnsi="Times New Roman" w:eastAsia="Times New Roman" w:cs="Times New Roman"/>
      <w:color w:val="000000"/>
      <w:sz w:val="32"/>
      <w:u w:val="single" w:color="000000"/>
    </w:rPr>
  </w:style>
  <w:style w:type="character" w:styleId="1" w:customStyle="1">
    <w:name w:val="Заглавие 1 Знак"/>
    <w:qFormat/>
    <w:rPr>
      <w:rFonts w:ascii="Times New Roman" w:hAnsi="Times New Roman" w:eastAsia="Times New Roman" w:cs="Times New Roman"/>
      <w:color w:val="000000"/>
      <w:sz w:val="50"/>
    </w:rPr>
  </w:style>
  <w:style w:type="character" w:styleId="Style11" w:customStyle="1">
    <w:name w:val="Гор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Style12" w:customStyle="1">
    <w:name w:val="Дол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Hyperlink">
    <w:name w:val="Hyperlink"/>
    <w:basedOn w:val="DefaultParagraphFont"/>
    <w:uiPriority w:val="99"/>
    <w:unhideWhenUsed/>
    <w:rsid w:val="002829b3"/>
    <w:rPr>
      <w:color w:themeColor="hyperlink" w:val="0563C1"/>
      <w:u w:val="single"/>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
    <w:name w:val="Text Body"/>
    <w:basedOn w:val="Normal"/>
    <w:qFormat/>
    <w:pPr>
      <w:spacing w:lineRule="auto" w:line="288" w:before="0" w:after="140"/>
    </w:pPr>
    <w:rPr/>
  </w:style>
  <w:style w:type="paragraph" w:styleId="ListParagraph">
    <w:name w:val="List Paragraph"/>
    <w:basedOn w:val="Normal"/>
    <w:uiPriority w:val="34"/>
    <w:qFormat/>
    <w:rsid w:val="00f16722"/>
    <w:pPr>
      <w:spacing w:lineRule="auto" w:line="259" w:before="0" w:after="160"/>
      <w:ind w:hanging="0" w:left="720"/>
      <w:contextualSpacing/>
      <w:jc w:val="left"/>
    </w:pPr>
    <w:rPr>
      <w:rFonts w:ascii="Calibri" w:hAnsi="Calibri" w:eastAsia="Calibri" w:cs="" w:asciiTheme="minorHAnsi" w:cstheme="minorBidi" w:eastAsiaTheme="minorHAnsi" w:hAnsiTheme="minorHAnsi"/>
      <w:color w:val="00000A"/>
      <w:sz w:val="22"/>
      <w:lang w:eastAsia="en-US"/>
    </w:rPr>
  </w:style>
  <w:style w:type="paragraph" w:styleId="HeaderandFooter">
    <w:name w:val="Header and Footer"/>
    <w:basedOn w:val="Normal"/>
    <w:qFormat/>
    <w:pPr/>
    <w:rPr/>
  </w:style>
  <w:style w:type="paragraph" w:styleId="Header">
    <w:name w:val="Head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Footer">
    <w:name w:val="Foot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BlockQuotation">
    <w:name w:val="Block Quotation"/>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DefinitionTerm">
    <w:name w:val="Definition Term"/>
    <w:basedOn w:val="Normal"/>
    <w:qFormat/>
    <w:pPr/>
    <w:rPr/>
  </w:style>
  <w:style w:type="paragraph" w:styleId="DefinitionList">
    <w:name w:val="Definition List"/>
    <w:basedOn w:val="Normal"/>
    <w:next w:val="DefinitionTerm"/>
    <w:qFormat/>
    <w:pPr>
      <w:ind w:left="360"/>
    </w:pPr>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4">
    <w:name w:val="H4"/>
    <w:basedOn w:val="Normal"/>
    <w:next w:val="Normal"/>
    <w:qFormat/>
    <w:pPr>
      <w:keepNext w:val="true"/>
      <w:spacing w:before="100" w:after="100"/>
      <w:outlineLvl w:val="4"/>
    </w:pPr>
    <w:rPr>
      <w:b/>
      <w:sz w:val="24"/>
    </w:rPr>
  </w:style>
  <w:style w:type="paragraph" w:styleId="H5">
    <w:name w:val="H5"/>
    <w:basedOn w:val="Normal"/>
    <w:next w:val="Normal"/>
    <w:qFormat/>
    <w:pPr>
      <w:keepNext w:val="true"/>
      <w:spacing w:before="100" w:after="100"/>
      <w:outlineLvl w:val="5"/>
    </w:pPr>
    <w:rPr>
      <w:b/>
      <w:sz w:val="20"/>
    </w:rPr>
  </w:style>
  <w:style w:type="paragraph" w:styleId="H6">
    <w:name w:val="H6"/>
    <w:basedOn w:val="Normal"/>
    <w:next w:val="Normal"/>
    <w:qFormat/>
    <w:pPr>
      <w:keepNext w:val="true"/>
      <w:spacing w:before="100" w:after="100"/>
      <w:outlineLvl w:val="6"/>
    </w:pPr>
    <w:rPr>
      <w:b/>
      <w:sz w:val="16"/>
    </w:rPr>
  </w:style>
  <w:style w:type="paragraph" w:styleId="Address">
    <w:name w:val="Address"/>
    <w:basedOn w:val="Normal"/>
    <w:next w:val="Normal"/>
    <w:qFormat/>
    <w:pPr/>
    <w:rPr>
      <w:i/>
    </w:rPr>
  </w:style>
  <w:style w:type="paragraph" w:styleId="Blockquote">
    <w:name w:val="Blockquote"/>
    <w:basedOn w:val="Normal"/>
    <w:qFormat/>
    <w:pPr>
      <w:spacing w:before="100" w:after="100"/>
      <w:ind w:left="360" w:right="360"/>
    </w:pPr>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next w:val="Normal"/>
    <w:qFormat/>
    <w:pPr>
      <w:widowControl/>
      <w:pBdr>
        <w:top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paragraph" w:styleId="Z-TopofForm">
    <w:name w:val="z-Top of Form"/>
    <w:next w:val="Normal"/>
    <w:qFormat/>
    <w:pPr>
      <w:widowControl/>
      <w:pBdr>
        <w:bottom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на Office">
  <a:themeElements>
    <a:clrScheme name="О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4734-9A1D-40AD-A8A3-275E3AB1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Application>LibreOffice/7.6.4.1$Windows_X86_64 LibreOffice_project/e19e193f88cd6c0525a17fb7a176ed8e6a3e2aa1</Application>
  <AppVersion>15.0000</AppVersion>
  <Pages>18</Pages>
  <Words>5507</Words>
  <Characters>30321</Characters>
  <CharactersWithSpaces>35652</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2020-02-04T09:59:00Z</dcterms:created>
  <dc:creator>Потребител на Windows</dc:creator>
  <dc:description/>
  <dc:language>bg-BG</dc:language>
  <cp:lastModifiedBy/>
  <cp:lastPrinted>2021-07-18T16:00:34Z</cp:lastPrinted>
  <dcterms:modified xsi:type="dcterms:W3CDTF">2025-09-28T15:04:18Z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